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after="156" w:afterLines="50" w:line="360" w:lineRule="auto"/>
        <w:rPr>
          <w:rFonts w:hint="eastAsia" w:ascii="宋体" w:hAnsi="宋体"/>
          <w:sz w:val="24"/>
          <w:szCs w:val="24"/>
          <w:highlight w:val="none"/>
        </w:rPr>
      </w:pPr>
      <w:bookmarkStart w:id="0" w:name="OLE_LINK34"/>
      <w:r>
        <w:rPr>
          <w:rFonts w:hint="eastAsia" w:ascii="宋体" w:hAnsi="宋体"/>
          <w:sz w:val="24"/>
          <w:szCs w:val="24"/>
        </w:rPr>
        <w:t>证券代码：300355      证券简称：蒙草</w:t>
      </w:r>
      <w:r>
        <w:rPr>
          <w:rFonts w:hint="eastAsia" w:ascii="宋体" w:hAnsi="宋体"/>
          <w:sz w:val="24"/>
          <w:szCs w:val="24"/>
          <w:lang w:eastAsia="zh-CN"/>
        </w:rPr>
        <w:t>生态</w:t>
      </w:r>
      <w:r>
        <w:rPr>
          <w:rFonts w:hint="eastAsia" w:ascii="宋体" w:hAnsi="宋体"/>
          <w:sz w:val="24"/>
          <w:szCs w:val="24"/>
        </w:rPr>
        <w:t xml:space="preserve">      公告编</w:t>
      </w:r>
      <w:r>
        <w:rPr>
          <w:rFonts w:hint="eastAsia" w:ascii="宋体" w:hAnsi="宋体"/>
          <w:sz w:val="24"/>
          <w:szCs w:val="24"/>
          <w:highlight w:val="none"/>
        </w:rPr>
        <w:t>号：（201</w:t>
      </w:r>
      <w:r>
        <w:rPr>
          <w:rFonts w:hint="eastAsia" w:ascii="宋体" w:hAnsi="宋体"/>
          <w:sz w:val="24"/>
          <w:szCs w:val="24"/>
          <w:highlight w:val="none"/>
          <w:lang w:val="en-US" w:eastAsia="zh-CN"/>
        </w:rPr>
        <w:t>6</w:t>
      </w:r>
      <w:r>
        <w:rPr>
          <w:rFonts w:hint="eastAsia" w:ascii="宋体" w:hAnsi="宋体"/>
          <w:sz w:val="24"/>
          <w:szCs w:val="24"/>
          <w:highlight w:val="none"/>
        </w:rPr>
        <w:t>）0</w:t>
      </w:r>
      <w:r>
        <w:rPr>
          <w:rFonts w:hint="eastAsia" w:ascii="宋体" w:hAnsi="宋体"/>
          <w:sz w:val="24"/>
          <w:szCs w:val="24"/>
          <w:highlight w:val="none"/>
          <w:lang w:val="en-US" w:eastAsia="zh-CN"/>
        </w:rPr>
        <w:t>67</w:t>
      </w:r>
      <w:r>
        <w:rPr>
          <w:rFonts w:hint="eastAsia" w:ascii="宋体" w:hAnsi="宋体"/>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color w:val="000000"/>
          <w:sz w:val="36"/>
          <w:szCs w:val="36"/>
          <w:highlight w:val="none"/>
        </w:rPr>
      </w:pPr>
      <w:r>
        <w:rPr>
          <w:rFonts w:hint="eastAsia" w:ascii="宋体" w:hAnsi="宋体" w:cs="宋体"/>
          <w:b/>
          <w:color w:val="000000"/>
          <w:sz w:val="36"/>
          <w:szCs w:val="36"/>
          <w:highlight w:val="none"/>
        </w:rPr>
        <w:t>内蒙古蒙草</w:t>
      </w:r>
      <w:r>
        <w:rPr>
          <w:rFonts w:hint="eastAsia" w:ascii="宋体" w:hAnsi="宋体" w:cs="宋体"/>
          <w:b/>
          <w:color w:val="000000"/>
          <w:sz w:val="36"/>
          <w:szCs w:val="36"/>
          <w:highlight w:val="none"/>
          <w:lang w:eastAsia="zh-CN"/>
        </w:rPr>
        <w:t>生态环境（集团）</w:t>
      </w:r>
      <w:r>
        <w:rPr>
          <w:rFonts w:hint="eastAsia" w:ascii="宋体" w:hAnsi="宋体" w:cs="宋体"/>
          <w:b/>
          <w:color w:val="000000"/>
          <w:sz w:val="36"/>
          <w:szCs w:val="36"/>
          <w:highlight w:val="none"/>
        </w:rPr>
        <w:t>股份有限公司</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9"/>
        <w:rPr>
          <w:rFonts w:hint="eastAsia" w:ascii="宋体" w:hAnsi="宋体" w:cs="宋体"/>
          <w:b/>
          <w:color w:val="000000"/>
          <w:sz w:val="36"/>
          <w:szCs w:val="36"/>
          <w:highlight w:val="none"/>
        </w:rPr>
      </w:pPr>
      <w:r>
        <w:rPr>
          <w:rFonts w:hint="eastAsia" w:ascii="宋体" w:hAnsi="宋体" w:cs="宋体"/>
          <w:b/>
          <w:color w:val="000000"/>
          <w:sz w:val="36"/>
          <w:szCs w:val="36"/>
          <w:highlight w:val="none"/>
        </w:rPr>
        <w:t>关于</w:t>
      </w:r>
      <w:r>
        <w:rPr>
          <w:rFonts w:hint="eastAsia" w:ascii="宋体" w:hAnsi="宋体" w:cs="宋体"/>
          <w:b/>
          <w:sz w:val="36"/>
          <w:szCs w:val="36"/>
        </w:rPr>
        <w:t>深圳证券交易所问询函回复的</w:t>
      </w:r>
      <w:r>
        <w:rPr>
          <w:rFonts w:hint="eastAsia" w:ascii="宋体" w:hAnsi="宋体" w:cs="宋体"/>
          <w:b/>
          <w:color w:val="000000"/>
          <w:sz w:val="36"/>
          <w:szCs w:val="36"/>
          <w:highlight w:val="none"/>
        </w:rPr>
        <w:t>公告</w:t>
      </w:r>
    </w:p>
    <w:p>
      <w:pPr>
        <w:keepNext w:val="0"/>
        <w:keepLines w:val="0"/>
        <w:pageBreakBefore w:val="0"/>
        <w:widowControl/>
        <w:pBdr>
          <w:top w:val="single" w:color="auto" w:sz="4" w:space="1"/>
          <w:left w:val="single" w:color="auto" w:sz="4" w:space="4"/>
          <w:bottom w:val="single" w:color="auto" w:sz="4" w:space="9"/>
          <w:right w:val="single" w:color="auto" w:sz="4" w:space="11"/>
        </w:pBd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cs="宋体"/>
          <w:color w:val="000000"/>
          <w:kern w:val="0"/>
          <w:sz w:val="24"/>
          <w:highlight w:val="none"/>
        </w:rPr>
      </w:pPr>
      <w:r>
        <w:rPr>
          <w:rFonts w:hint="eastAsia" w:ascii="宋体" w:hAnsi="宋体" w:cs="宋体"/>
          <w:color w:val="000000"/>
          <w:kern w:val="0"/>
          <w:sz w:val="24"/>
          <w:highlight w:val="none"/>
        </w:rPr>
        <w:t>本公司及董事会全体成员保证信息披露的内容真实、准确、完整，没有虚假记载、误导性陈述或重大遗漏。</w:t>
      </w:r>
    </w:p>
    <w:p>
      <w:pPr>
        <w:pageBreakBefore w:val="0"/>
        <w:kinsoku/>
        <w:wordWrap/>
        <w:overflowPunct/>
        <w:topLinePunct/>
        <w:bidi w:val="0"/>
        <w:spacing w:line="520" w:lineRule="exact"/>
        <w:ind w:left="0" w:leftChars="0" w:right="0" w:rightChars="0"/>
        <w:textAlignment w:val="auto"/>
        <w:rPr>
          <w:rFonts w:ascii="宋体" w:hAnsi="宋体" w:cs="宋体"/>
          <w:sz w:val="28"/>
          <w:szCs w:val="28"/>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内蒙古蒙草</w:t>
      </w:r>
      <w:r>
        <w:rPr>
          <w:rFonts w:hint="eastAsia" w:ascii="宋体" w:hAnsi="宋体" w:cs="宋体"/>
          <w:sz w:val="28"/>
          <w:szCs w:val="28"/>
          <w:highlight w:val="none"/>
          <w:lang w:eastAsia="zh-CN"/>
        </w:rPr>
        <w:t>生态环境（集团）</w:t>
      </w:r>
      <w:r>
        <w:rPr>
          <w:rFonts w:hint="eastAsia" w:ascii="宋体" w:hAnsi="宋体" w:eastAsia="宋体" w:cs="宋体"/>
          <w:sz w:val="28"/>
          <w:szCs w:val="28"/>
          <w:highlight w:val="none"/>
          <w:lang w:eastAsia="zh-CN"/>
        </w:rPr>
        <w:t>股份有限公司（以下简称“</w:t>
      </w:r>
      <w:r>
        <w:rPr>
          <w:rFonts w:hint="eastAsia" w:ascii="宋体" w:hAnsi="宋体" w:eastAsia="宋体" w:cs="宋体"/>
          <w:sz w:val="28"/>
          <w:szCs w:val="28"/>
          <w:highlight w:val="none"/>
        </w:rPr>
        <w:t>公司</w:t>
      </w:r>
      <w:r>
        <w:rPr>
          <w:rFonts w:hint="eastAsia" w:ascii="宋体" w:hAnsi="宋体" w:eastAsia="宋体" w:cs="宋体"/>
          <w:sz w:val="28"/>
          <w:szCs w:val="28"/>
          <w:highlight w:val="none"/>
          <w:lang w:eastAsia="zh-CN"/>
        </w:rPr>
        <w:t>”）于</w:t>
      </w:r>
      <w:r>
        <w:rPr>
          <w:rFonts w:hint="eastAsia" w:ascii="宋体" w:hAnsi="宋体" w:eastAsia="宋体" w:cs="宋体"/>
          <w:sz w:val="28"/>
          <w:szCs w:val="28"/>
          <w:highlight w:val="none"/>
          <w:lang w:val="en-US" w:eastAsia="zh-CN"/>
        </w:rPr>
        <w:t>7月5日收到</w:t>
      </w:r>
      <w:r>
        <w:rPr>
          <w:rFonts w:hint="eastAsia" w:ascii="宋体" w:hAnsi="宋体" w:eastAsia="宋体" w:cs="宋体"/>
          <w:sz w:val="28"/>
          <w:szCs w:val="28"/>
          <w:highlight w:val="none"/>
          <w:lang w:eastAsia="zh-CN"/>
        </w:rPr>
        <w:t>深圳证券交易所向公司下发的《</w:t>
      </w:r>
      <w:r>
        <w:rPr>
          <w:rFonts w:hint="eastAsia" w:ascii="宋体" w:hAnsi="宋体" w:cs="宋体"/>
          <w:sz w:val="28"/>
          <w:szCs w:val="28"/>
        </w:rPr>
        <w:t>关于对内蒙古蒙草生态环境（集团）股份有限公司的问询函》（创业板问询函【2016】第</w:t>
      </w:r>
      <w:sdt>
        <w:sdtPr>
          <w:rPr>
            <w:rFonts w:hint="eastAsia" w:ascii="宋体" w:hAnsi="宋体" w:cs="宋体"/>
            <w:sz w:val="28"/>
            <w:szCs w:val="28"/>
          </w:rPr>
          <w:alias w:val="正式编号"/>
          <w:tag w:val="FormalCode"/>
          <w:id w:val="3404632"/>
          <w:placeholder>
            <w:docPart w:val="93A9ED24291D44C6BC6A9AFABB83933C"/>
          </w:placeholder>
          <w:text/>
        </w:sdtPr>
        <w:sdtEndPr>
          <w:rPr>
            <w:rFonts w:hint="eastAsia" w:ascii="宋体" w:hAnsi="宋体" w:cs="宋体"/>
            <w:sz w:val="28"/>
            <w:szCs w:val="28"/>
          </w:rPr>
        </w:sdtEndPr>
        <w:sdtContent>
          <w:r>
            <w:rPr>
              <w:rFonts w:hint="eastAsia" w:ascii="宋体" w:hAnsi="宋体" w:cs="宋体"/>
              <w:sz w:val="28"/>
              <w:szCs w:val="28"/>
            </w:rPr>
            <w:t>109</w:t>
          </w:r>
        </w:sdtContent>
      </w:sdt>
      <w:r>
        <w:rPr>
          <w:rFonts w:hint="eastAsia" w:ascii="宋体" w:hAnsi="宋体" w:cs="宋体"/>
          <w:sz w:val="28"/>
          <w:szCs w:val="28"/>
        </w:rPr>
        <w:t>号）已收悉，经过认真研究与核查，就问询函中所提到的问题，现具体回复如下：</w:t>
      </w:r>
    </w:p>
    <w:p>
      <w:pPr>
        <w:pageBreakBefore w:val="0"/>
        <w:kinsoku/>
        <w:wordWrap/>
        <w:overflowPunct/>
        <w:bidi w:val="0"/>
        <w:spacing w:line="520" w:lineRule="exact"/>
        <w:ind w:left="0" w:leftChars="0" w:right="0" w:rightChars="0"/>
        <w:textAlignment w:val="auto"/>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 1、内蒙古自治区政府采购网已于6月23日公告了《阿尔山市口岸建设筹备处兴安盟阿尔山市生态县域PPP项目中标（成交）公告》，公示时间为6月23日到7月4日。请你公司说明未按照《创业板信息披露业务备忘录第7号：日常经营重大合同》在6月23日及时披露提示性公告的原因。</w:t>
      </w:r>
    </w:p>
    <w:p>
      <w:pPr>
        <w:pageBreakBefore w:val="0"/>
        <w:kinsoku/>
        <w:wordWrap/>
        <w:overflowPunct/>
        <w:bidi w:val="0"/>
        <w:spacing w:line="520" w:lineRule="exact"/>
        <w:ind w:left="0" w:leftChars="0" w:right="0" w:rightChars="0" w:firstLine="560"/>
        <w:jc w:val="left"/>
        <w:textAlignment w:val="auto"/>
        <w:rPr>
          <w:rFonts w:ascii="宋体" w:hAnsi="宋体" w:cs="宋体"/>
          <w:b/>
          <w:bCs/>
          <w:sz w:val="28"/>
          <w:szCs w:val="28"/>
        </w:rPr>
      </w:pPr>
      <w:r>
        <w:rPr>
          <w:rFonts w:hint="eastAsia" w:ascii="宋体" w:hAnsi="宋体" w:cs="宋体"/>
          <w:b/>
          <w:bCs/>
          <w:sz w:val="28"/>
          <w:szCs w:val="28"/>
        </w:rPr>
        <w:t>回复：</w:t>
      </w:r>
    </w:p>
    <w:p>
      <w:pPr>
        <w:pageBreakBefore w:val="0"/>
        <w:kinsoku/>
        <w:wordWrap/>
        <w:overflowPunct/>
        <w:bidi w:val="0"/>
        <w:spacing w:line="520" w:lineRule="exact"/>
        <w:ind w:left="0" w:leftChars="0" w:right="0" w:rightChars="0" w:firstLine="560"/>
        <w:jc w:val="left"/>
        <w:textAlignment w:val="auto"/>
        <w:rPr>
          <w:rFonts w:ascii="宋体" w:hAnsi="宋体" w:cs="宋体"/>
          <w:sz w:val="28"/>
          <w:szCs w:val="28"/>
        </w:rPr>
      </w:pPr>
      <w:r>
        <w:rPr>
          <w:rFonts w:hint="eastAsia" w:ascii="宋体" w:hAnsi="宋体" w:cs="宋体"/>
          <w:sz w:val="28"/>
          <w:szCs w:val="28"/>
        </w:rPr>
        <w:t>内蒙古自治区政府采购网于6月23日公告了《阿尔山市口岸建设筹备处兴安盟阿尔山市生态县域PPP项目中标（成交）公告》,由于公司内部对于相关信息传递延迟，导致未能及时披露提示性公告，公司对此深表歉意。</w:t>
      </w:r>
    </w:p>
    <w:p>
      <w:pPr>
        <w:pageBreakBefore w:val="0"/>
        <w:kinsoku/>
        <w:wordWrap/>
        <w:overflowPunct/>
        <w:bidi w:val="0"/>
        <w:spacing w:line="520" w:lineRule="exact"/>
        <w:ind w:left="0" w:leftChars="0" w:right="0" w:rightChars="0" w:firstLine="556"/>
        <w:jc w:val="left"/>
        <w:textAlignment w:val="auto"/>
        <w:rPr>
          <w:rFonts w:ascii="宋体" w:hAnsi="宋体" w:cs="宋体"/>
          <w:sz w:val="28"/>
          <w:szCs w:val="28"/>
        </w:rPr>
      </w:pPr>
      <w:r>
        <w:rPr>
          <w:rFonts w:hint="eastAsia" w:ascii="宋体" w:hAnsi="宋体" w:cs="宋体"/>
          <w:sz w:val="28"/>
          <w:szCs w:val="28"/>
        </w:rPr>
        <w:t>今后，公司将对内部信息的报送程序、流程进行认真梳理，严格按照《信息披露管理办法》明确信息报送责任，对于生产经营过程中出现的重大信息明确报送责任人，要求第一时间以书面形式向公司董事会办公室进行通报，相关责任人必须保证信息的及时、准确和完整，并在该书面报告上签名承担相应责任，并对所提供的信息在未公开披露前负有保密责任。</w:t>
      </w:r>
    </w:p>
    <w:p>
      <w:pPr>
        <w:pageBreakBefore w:val="0"/>
        <w:kinsoku/>
        <w:wordWrap/>
        <w:overflowPunct/>
        <w:bidi w:val="0"/>
        <w:spacing w:line="520" w:lineRule="exact"/>
        <w:ind w:left="0" w:leftChars="0" w:right="0" w:rightChars="0" w:firstLine="556"/>
        <w:jc w:val="left"/>
        <w:textAlignment w:val="auto"/>
        <w:rPr>
          <w:rFonts w:ascii="宋体" w:hAnsi="宋体" w:cs="宋体"/>
          <w:sz w:val="28"/>
          <w:szCs w:val="28"/>
        </w:rPr>
      </w:pPr>
      <w:r>
        <w:rPr>
          <w:rFonts w:hint="eastAsia" w:ascii="宋体" w:hAnsi="宋体" w:cs="宋体"/>
          <w:sz w:val="28"/>
          <w:szCs w:val="28"/>
        </w:rPr>
        <w:t>本次未能及时披露中标提示性公告,暴露出公司在信息披露方面还存在不足之处，今后公司将严格遵守《证券法》、《公司法》及《上市规则》的规定，及时、真实、准确、完整地履行信息披露义务，并认真总结存在的问题，及时弥补工作对接中存在的漏洞，确保此类事项不再发生。</w:t>
      </w:r>
    </w:p>
    <w:p>
      <w:pPr>
        <w:pageBreakBefore w:val="0"/>
        <w:kinsoku/>
        <w:wordWrap/>
        <w:overflowPunct/>
        <w:bidi w:val="0"/>
        <w:spacing w:line="520" w:lineRule="exact"/>
        <w:ind w:left="0" w:leftChars="0" w:right="0" w:rightChars="0"/>
        <w:textAlignment w:val="auto"/>
        <w:rPr>
          <w:rFonts w:ascii="宋体" w:hAnsi="宋体" w:cs="宋体"/>
          <w:sz w:val="28"/>
          <w:szCs w:val="28"/>
        </w:rPr>
      </w:pPr>
      <w:r>
        <w:rPr>
          <w:rFonts w:hint="eastAsia" w:ascii="宋体" w:hAnsi="宋体" w:cs="宋体"/>
          <w:kern w:val="0"/>
          <w:sz w:val="28"/>
          <w:szCs w:val="28"/>
        </w:rPr>
        <w:t xml:space="preserve">   </w:t>
      </w:r>
      <w:r>
        <w:rPr>
          <w:rFonts w:hint="eastAsia" w:ascii="宋体" w:hAnsi="宋体" w:cs="宋体"/>
          <w:b/>
          <w:bCs/>
          <w:kern w:val="0"/>
          <w:sz w:val="28"/>
          <w:szCs w:val="28"/>
        </w:rPr>
        <w:t xml:space="preserve"> 2、你公司于6月29日因重大事项停牌，计划通过询价方式进行非公开发行，请</w:t>
      </w:r>
      <w:r>
        <w:rPr>
          <w:rFonts w:hint="eastAsia" w:ascii="宋体" w:hAnsi="宋体" w:cs="宋体"/>
          <w:b/>
          <w:bCs/>
          <w:sz w:val="28"/>
          <w:szCs w:val="28"/>
        </w:rPr>
        <w:t>说明你公司延迟披露中标合同是否存在配合非公开发行的情况。</w:t>
      </w:r>
    </w:p>
    <w:p>
      <w:pPr>
        <w:pageBreakBefore w:val="0"/>
        <w:kinsoku/>
        <w:wordWrap/>
        <w:overflowPunct/>
        <w:bidi w:val="0"/>
        <w:spacing w:line="520" w:lineRule="exact"/>
        <w:ind w:left="0" w:leftChars="0" w:right="0" w:rightChars="0" w:firstLine="420"/>
        <w:jc w:val="left"/>
        <w:textAlignment w:val="auto"/>
        <w:rPr>
          <w:rFonts w:ascii="宋体" w:hAnsi="宋体" w:cs="宋体"/>
          <w:b/>
          <w:sz w:val="28"/>
          <w:szCs w:val="28"/>
        </w:rPr>
      </w:pPr>
      <w:r>
        <w:rPr>
          <w:rFonts w:hint="eastAsia" w:ascii="宋体" w:hAnsi="宋体" w:cs="宋体"/>
          <w:b/>
          <w:sz w:val="28"/>
          <w:szCs w:val="28"/>
        </w:rPr>
        <w:t xml:space="preserve"> 回复：</w:t>
      </w:r>
    </w:p>
    <w:p>
      <w:pPr>
        <w:pageBreakBefore w:val="0"/>
        <w:kinsoku/>
        <w:wordWrap/>
        <w:overflowPunct/>
        <w:bidi w:val="0"/>
        <w:spacing w:line="520" w:lineRule="exact"/>
        <w:ind w:left="0" w:leftChars="0" w:right="0" w:rightChars="0" w:firstLine="420"/>
        <w:jc w:val="left"/>
        <w:textAlignment w:val="auto"/>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公司严格按照《创业板上市公司非公开发行股票业务办理指南》办理了本次非公开发行股票相关事宜，公司主承销商华泰联合证券有限责任公司对公司控股股东、实际控制人或其控制的关联人、董事、监事、高管等是否参与非公开发行进行了严格核查并要求相关人员提供承诺函，主承销商对参与认购的其他投资者也进行认真、严格的核查，参与认购的投资者均与公司不存在关联关系，询价过程中北京市君合律师事务所对本次</w:t>
      </w:r>
      <w:r>
        <w:rPr>
          <w:rFonts w:hint="eastAsia" w:ascii="宋体" w:hAnsi="宋体" w:cs="宋体"/>
          <w:kern w:val="0"/>
          <w:sz w:val="28"/>
          <w:szCs w:val="28"/>
        </w:rPr>
        <w:t>非公开发行股票</w:t>
      </w:r>
      <w:r>
        <w:rPr>
          <w:rFonts w:hint="eastAsia" w:ascii="宋体" w:hAnsi="宋体" w:cs="宋体"/>
          <w:sz w:val="28"/>
          <w:szCs w:val="28"/>
        </w:rPr>
        <w:t>募集配套资金全部询价过程进行了现场法律见证。</w:t>
      </w:r>
    </w:p>
    <w:p>
      <w:pPr>
        <w:pageBreakBefore w:val="0"/>
        <w:kinsoku/>
        <w:wordWrap/>
        <w:overflowPunct/>
        <w:bidi w:val="0"/>
        <w:spacing w:line="520" w:lineRule="exact"/>
        <w:ind w:left="0" w:leftChars="0" w:right="0" w:rightChars="0" w:firstLine="560" w:firstLineChars="200"/>
        <w:jc w:val="left"/>
        <w:textAlignment w:val="auto"/>
        <w:rPr>
          <w:rFonts w:ascii="宋体" w:hAnsi="宋体" w:cs="宋体"/>
          <w:sz w:val="28"/>
          <w:szCs w:val="28"/>
          <w:highlight w:val="yellow"/>
        </w:rPr>
      </w:pPr>
      <w:r>
        <w:rPr>
          <w:rFonts w:hint="eastAsia" w:ascii="宋体" w:hAnsi="宋体" w:cs="宋体"/>
          <w:sz w:val="28"/>
          <w:szCs w:val="28"/>
        </w:rPr>
        <w:t>目前，公司已完成非公开发行</w:t>
      </w:r>
      <w:r>
        <w:rPr>
          <w:rFonts w:hint="eastAsia" w:ascii="宋体" w:hAnsi="宋体" w:cs="宋体"/>
          <w:kern w:val="0"/>
          <w:sz w:val="28"/>
          <w:szCs w:val="28"/>
        </w:rPr>
        <w:t>股票</w:t>
      </w:r>
      <w:r>
        <w:rPr>
          <w:rFonts w:hint="eastAsia" w:ascii="宋体" w:hAnsi="宋体" w:cs="宋体"/>
          <w:sz w:val="28"/>
          <w:szCs w:val="28"/>
        </w:rPr>
        <w:t>募集配套资金的投资者申购报价和核查工作，根据有效报价，按照《认购邀请书》规定的认购价格优先、认购金额优先、收到《申购报价单》时间优先的原则进行簿记建档。</w:t>
      </w:r>
    </w:p>
    <w:p>
      <w:pPr>
        <w:pageBreakBefore w:val="0"/>
        <w:kinsoku/>
        <w:wordWrap/>
        <w:overflowPunct/>
        <w:bidi w:val="0"/>
        <w:spacing w:line="520" w:lineRule="exact"/>
        <w:ind w:left="0" w:leftChars="0" w:right="0" w:rightChars="0" w:firstLine="560" w:firstLineChars="200"/>
        <w:jc w:val="left"/>
        <w:textAlignment w:val="auto"/>
        <w:rPr>
          <w:rFonts w:ascii="宋体" w:hAnsi="宋体" w:cs="宋体"/>
          <w:sz w:val="28"/>
          <w:szCs w:val="28"/>
        </w:rPr>
      </w:pPr>
      <w:r>
        <w:rPr>
          <w:rFonts w:hint="eastAsia" w:ascii="宋体" w:hAnsi="宋体" w:cs="宋体"/>
          <w:sz w:val="28"/>
          <w:szCs w:val="28"/>
        </w:rPr>
        <w:t>公司本次非公开发行募集配套资金额度为26,250万元，共收到经确认的意向函45份，募集资金额度较小且市场认购意向较高；经过认真核查，发行对象均与公司不存在关联关系且发行后股份锁定期为一年。因此，公司不存在故意延迟披露配合非公开发行的情况。</w:t>
      </w:r>
    </w:p>
    <w:p>
      <w:pPr>
        <w:pStyle w:val="19"/>
        <w:pageBreakBefore w:val="0"/>
        <w:kinsoku/>
        <w:wordWrap/>
        <w:overflowPunct/>
        <w:bidi w:val="0"/>
        <w:spacing w:line="520" w:lineRule="exact"/>
        <w:ind w:left="0" w:leftChars="0" w:right="0" w:rightChars="0" w:firstLine="0" w:firstLineChars="0"/>
        <w:textAlignment w:val="auto"/>
        <w:rPr>
          <w:rFonts w:ascii="宋体" w:hAnsi="宋体" w:cs="宋体"/>
          <w:b/>
          <w:bCs/>
          <w:sz w:val="28"/>
          <w:szCs w:val="28"/>
        </w:rPr>
      </w:pPr>
      <w:r>
        <w:rPr>
          <w:rFonts w:hint="eastAsia" w:ascii="宋体" w:hAnsi="宋体" w:cs="宋体"/>
          <w:b/>
          <w:bCs/>
          <w:sz w:val="28"/>
          <w:szCs w:val="28"/>
        </w:rPr>
        <w:t xml:space="preserve">    3、内蒙古自治区政府采购网公告的预中标公告</w:t>
      </w:r>
      <w:bookmarkEnd w:id="0"/>
      <w:r>
        <w:rPr>
          <w:rFonts w:hint="eastAsia" w:ascii="宋体" w:hAnsi="宋体" w:cs="宋体"/>
          <w:b/>
          <w:bCs/>
          <w:sz w:val="28"/>
          <w:szCs w:val="28"/>
        </w:rPr>
        <w:t>中称：该项目将通过新成立的项目公司（SPV）进行，其中政府占股30%，社会资本占股70%。请说明项目建设计划，</w:t>
      </w:r>
      <w:bookmarkStart w:id="1" w:name="OLE_LINK3"/>
      <w:r>
        <w:rPr>
          <w:rFonts w:hint="eastAsia" w:ascii="宋体" w:hAnsi="宋体" w:cs="宋体"/>
          <w:b/>
          <w:bCs/>
          <w:sz w:val="28"/>
          <w:szCs w:val="28"/>
        </w:rPr>
        <w:t>项目运营管理</w:t>
      </w:r>
      <w:bookmarkEnd w:id="1"/>
      <w:r>
        <w:rPr>
          <w:rFonts w:hint="eastAsia" w:ascii="宋体" w:hAnsi="宋体" w:cs="宋体"/>
          <w:b/>
          <w:bCs/>
          <w:sz w:val="28"/>
          <w:szCs w:val="28"/>
        </w:rPr>
        <w:t>，</w:t>
      </w:r>
      <w:bookmarkStart w:id="2" w:name="OLE_LINK2"/>
      <w:r>
        <w:rPr>
          <w:rFonts w:hint="eastAsia" w:ascii="宋体" w:hAnsi="宋体" w:cs="宋体"/>
          <w:b/>
          <w:bCs/>
          <w:sz w:val="28"/>
          <w:szCs w:val="28"/>
        </w:rPr>
        <w:t>项目融资方案</w:t>
      </w:r>
      <w:bookmarkEnd w:id="2"/>
      <w:r>
        <w:rPr>
          <w:rFonts w:hint="eastAsia" w:ascii="宋体" w:hAnsi="宋体" w:cs="宋体"/>
          <w:b/>
          <w:bCs/>
          <w:sz w:val="28"/>
          <w:szCs w:val="28"/>
        </w:rPr>
        <w:t>，</w:t>
      </w:r>
      <w:bookmarkStart w:id="3" w:name="OLE_LINK23"/>
      <w:r>
        <w:rPr>
          <w:rFonts w:hint="eastAsia" w:ascii="宋体" w:hAnsi="宋体" w:cs="宋体"/>
          <w:b/>
          <w:bCs/>
          <w:sz w:val="28"/>
          <w:szCs w:val="28"/>
        </w:rPr>
        <w:t>公司为该项目的筹资计划以及公司是否具有履约能力等情况，</w:t>
      </w:r>
      <w:bookmarkEnd w:id="3"/>
      <w:r>
        <w:rPr>
          <w:rFonts w:hint="eastAsia" w:ascii="宋体" w:hAnsi="宋体" w:cs="宋体"/>
          <w:b/>
          <w:bCs/>
          <w:sz w:val="28"/>
          <w:szCs w:val="28"/>
        </w:rPr>
        <w:t>并提供相关材料。</w:t>
      </w:r>
    </w:p>
    <w:p>
      <w:pPr>
        <w:pageBreakBefore w:val="0"/>
        <w:kinsoku/>
        <w:wordWrap/>
        <w:overflowPunct/>
        <w:bidi w:val="0"/>
        <w:spacing w:line="520" w:lineRule="exact"/>
        <w:ind w:left="0" w:leftChars="0" w:right="0" w:rightChars="0" w:firstLine="480"/>
        <w:textAlignment w:val="auto"/>
        <w:rPr>
          <w:rFonts w:ascii="宋体" w:hAnsi="宋体" w:cs="宋体"/>
          <w:b/>
          <w:bCs/>
          <w:sz w:val="28"/>
          <w:szCs w:val="28"/>
        </w:rPr>
      </w:pPr>
      <w:r>
        <w:rPr>
          <w:rFonts w:hint="eastAsia" w:ascii="宋体" w:hAnsi="宋体" w:cs="宋体"/>
          <w:b/>
          <w:bCs/>
          <w:sz w:val="28"/>
          <w:szCs w:val="28"/>
        </w:rPr>
        <w:t>回复：</w:t>
      </w:r>
    </w:p>
    <w:p>
      <w:pPr>
        <w:pageBreakBefore w:val="0"/>
        <w:kinsoku/>
        <w:wordWrap/>
        <w:overflowPunct/>
        <w:bidi w:val="0"/>
        <w:spacing w:line="520" w:lineRule="exact"/>
        <w:ind w:left="0" w:leftChars="0" w:right="0" w:rightChars="0" w:firstLine="480"/>
        <w:textAlignment w:val="auto"/>
        <w:rPr>
          <w:rFonts w:ascii="宋体" w:hAnsi="宋体" w:cs="宋体"/>
          <w:b/>
          <w:bCs/>
          <w:sz w:val="28"/>
          <w:szCs w:val="28"/>
        </w:rPr>
      </w:pPr>
      <w:r>
        <w:rPr>
          <w:rFonts w:hint="eastAsia" w:ascii="宋体" w:hAnsi="宋体" w:cs="宋体"/>
          <w:b/>
          <w:bCs/>
          <w:sz w:val="28"/>
          <w:szCs w:val="28"/>
        </w:rPr>
        <w:t>（1）项目建设计划：</w:t>
      </w:r>
    </w:p>
    <w:p>
      <w:pPr>
        <w:pStyle w:val="23"/>
        <w:pageBreakBefore w:val="0"/>
        <w:kinsoku/>
        <w:wordWrap/>
        <w:overflowPunct/>
        <w:bidi w:val="0"/>
        <w:snapToGrid w:val="0"/>
        <w:spacing w:line="520" w:lineRule="exact"/>
        <w:ind w:left="0" w:leftChars="0" w:right="0" w:rightChars="0" w:firstLine="562" w:firstLineChars="200"/>
        <w:textAlignment w:val="auto"/>
        <w:rPr>
          <w:rFonts w:ascii="宋体" w:hAnsi="宋体" w:cs="宋体"/>
          <w:color w:val="auto"/>
          <w:sz w:val="28"/>
          <w:szCs w:val="28"/>
        </w:rPr>
      </w:pPr>
      <w:bookmarkStart w:id="4" w:name="OLE_LINK4"/>
      <w:r>
        <w:rPr>
          <w:rFonts w:hint="eastAsia" w:ascii="宋体" w:hAnsi="宋体" w:cs="宋体"/>
          <w:b/>
          <w:bCs/>
          <w:color w:val="auto"/>
          <w:sz w:val="28"/>
          <w:szCs w:val="28"/>
        </w:rPr>
        <w:t>1）</w:t>
      </w:r>
      <w:r>
        <w:rPr>
          <w:rFonts w:hint="eastAsia" w:ascii="宋体" w:hAnsi="宋体" w:cs="宋体"/>
          <w:color w:val="auto"/>
          <w:sz w:val="28"/>
          <w:szCs w:val="28"/>
        </w:rPr>
        <w:t>阿尔山生态县域经济PPP项目</w:t>
      </w:r>
      <w:bookmarkEnd w:id="4"/>
      <w:r>
        <w:rPr>
          <w:rFonts w:hint="eastAsia" w:ascii="宋体" w:hAnsi="宋体" w:cs="宋体"/>
          <w:color w:val="auto"/>
          <w:sz w:val="28"/>
          <w:szCs w:val="28"/>
        </w:rPr>
        <w:t>旨在通过PPP模式优选社会资本，开展有效融资，通过充分发挥社会资本自身优势提升阿尔山城市魅力。政府和社会资本组建项目公司，</w:t>
      </w:r>
      <w:bookmarkStart w:id="5" w:name="OLE_LINK18"/>
      <w:r>
        <w:rPr>
          <w:rFonts w:hint="eastAsia" w:ascii="宋体" w:hAnsi="宋体" w:cs="宋体"/>
          <w:color w:val="auto"/>
          <w:sz w:val="28"/>
          <w:szCs w:val="28"/>
        </w:rPr>
        <w:t>以“整体打包、分项推进”</w:t>
      </w:r>
      <w:bookmarkEnd w:id="5"/>
      <w:r>
        <w:rPr>
          <w:rFonts w:hint="eastAsia" w:ascii="宋体" w:hAnsi="宋体" w:cs="宋体"/>
          <w:color w:val="auto"/>
          <w:sz w:val="28"/>
          <w:szCs w:val="28"/>
        </w:rPr>
        <w:t>运用DBFOT进行规划、设计、建设、融资、运营。由政府和社会资本方合资成立项目公司，开展口岸项目、十个全覆盖项目、全域旅游项目、旅游基础设施已覆盖的旅游景区的升级、运营及营销。</w:t>
      </w:r>
    </w:p>
    <w:p>
      <w:pPr>
        <w:pStyle w:val="23"/>
        <w:pageBreakBefore w:val="0"/>
        <w:kinsoku/>
        <w:wordWrap/>
        <w:overflowPunct/>
        <w:bidi w:val="0"/>
        <w:snapToGrid w:val="0"/>
        <w:spacing w:line="520" w:lineRule="exact"/>
        <w:ind w:left="0" w:leftChars="0" w:right="0" w:rightChars="0" w:firstLine="560" w:firstLineChars="200"/>
        <w:textAlignment w:val="auto"/>
        <w:rPr>
          <w:rFonts w:ascii="宋体" w:hAnsi="宋体" w:cs="宋体"/>
          <w:color w:val="auto"/>
          <w:sz w:val="28"/>
          <w:szCs w:val="28"/>
        </w:rPr>
      </w:pPr>
      <w:bookmarkStart w:id="6" w:name="OLE_LINK19"/>
      <w:r>
        <w:rPr>
          <w:rFonts w:hint="eastAsia" w:ascii="宋体" w:hAnsi="宋体" w:cs="宋体"/>
          <w:color w:val="auto"/>
          <w:sz w:val="28"/>
          <w:szCs w:val="28"/>
        </w:rPr>
        <w:t>阿尔山生态县域经济PPP项目为片区型项目，各子项目需通过滚动开发制定合理的开发时序，因此本项目为“一次授权、分步实施”。</w:t>
      </w:r>
      <w:bookmarkEnd w:id="6"/>
      <w:r>
        <w:rPr>
          <w:rFonts w:hint="eastAsia" w:ascii="宋体" w:hAnsi="宋体" w:cs="宋体"/>
          <w:color w:val="auto"/>
          <w:sz w:val="28"/>
          <w:szCs w:val="28"/>
        </w:rPr>
        <w:t>由政府方出资代表阿尔山市睦邻口岸开发有限公司（以下简称“睦邻口岸”）和内蒙古蒙草生态环境（集团）股份有限公司（以下简称“蒙草”）、中建基础设施交通设计建设有限公司（以下简称“中建基础”）、</w:t>
      </w:r>
      <w:bookmarkStart w:id="7" w:name="OLE_LINK11"/>
      <w:r>
        <w:rPr>
          <w:rFonts w:hint="eastAsia" w:ascii="宋体" w:hAnsi="宋体" w:cs="宋体"/>
          <w:color w:val="auto"/>
          <w:sz w:val="28"/>
          <w:szCs w:val="28"/>
        </w:rPr>
        <w:t>北方中郡</w:t>
      </w:r>
      <w:bookmarkEnd w:id="7"/>
      <w:r>
        <w:rPr>
          <w:rFonts w:hint="eastAsia" w:ascii="宋体" w:hAnsi="宋体" w:cs="宋体"/>
          <w:color w:val="auto"/>
          <w:sz w:val="28"/>
          <w:szCs w:val="28"/>
        </w:rPr>
        <w:t>投资（北京）有限公司（以下简称“中郡运营”）组成的联合体共同出资设立阿尔山市绿色发展投资有限公司（以下简称“ 阿尔山绿色发展”、“项目公司”“SPV”），由阿尔山绿色发展在合作期限内进行设计、融资、建设、运营、管理、移交。</w:t>
      </w:r>
    </w:p>
    <w:p>
      <w:pPr>
        <w:pStyle w:val="23"/>
        <w:pageBreakBefore w:val="0"/>
        <w:kinsoku/>
        <w:wordWrap/>
        <w:overflowPunct/>
        <w:bidi w:val="0"/>
        <w:snapToGrid w:val="0"/>
        <w:spacing w:line="520" w:lineRule="exact"/>
        <w:ind w:left="0" w:leftChars="0" w:right="0" w:rightChars="0" w:firstLine="562" w:firstLineChars="200"/>
        <w:textAlignment w:val="auto"/>
        <w:rPr>
          <w:rFonts w:ascii="宋体" w:hAnsi="宋体" w:cs="宋体"/>
          <w:color w:val="auto"/>
          <w:sz w:val="28"/>
          <w:szCs w:val="28"/>
        </w:rPr>
      </w:pPr>
      <w:bookmarkStart w:id="8" w:name="OLE_LINK7"/>
      <w:bookmarkStart w:id="9" w:name="OLE_LINK12"/>
      <w:r>
        <w:rPr>
          <w:rFonts w:hint="eastAsia" w:ascii="宋体" w:hAnsi="宋体" w:cs="宋体"/>
          <w:b/>
          <w:bCs/>
          <w:color w:val="auto"/>
          <w:sz w:val="28"/>
          <w:szCs w:val="28"/>
        </w:rPr>
        <w:t>2）</w:t>
      </w:r>
      <w:r>
        <w:rPr>
          <w:rFonts w:hint="eastAsia" w:ascii="宋体" w:hAnsi="宋体" w:cs="宋体"/>
          <w:color w:val="auto"/>
          <w:sz w:val="28"/>
          <w:szCs w:val="28"/>
        </w:rPr>
        <w:t>项目公司</w:t>
      </w:r>
      <w:bookmarkEnd w:id="8"/>
      <w:r>
        <w:rPr>
          <w:rFonts w:hint="eastAsia" w:ascii="宋体" w:hAnsi="宋体" w:cs="宋体"/>
          <w:color w:val="auto"/>
          <w:sz w:val="28"/>
          <w:szCs w:val="28"/>
        </w:rPr>
        <w:t>注册资金3,000万元，其中政府出资900万元，占股30%；蒙草出资900万元，占股30%；中建基础出资900万元，占股30%；中郡运营出资300万元，占股10%。</w:t>
      </w:r>
    </w:p>
    <w:bookmarkEnd w:id="9"/>
    <w:p>
      <w:pPr>
        <w:pageBreakBefore w:val="0"/>
        <w:kinsoku/>
        <w:wordWrap/>
        <w:overflowPunct/>
        <w:bidi w:val="0"/>
        <w:spacing w:line="520" w:lineRule="exact"/>
        <w:ind w:left="0" w:leftChars="0" w:right="0" w:rightChars="0" w:firstLine="560" w:firstLineChars="200"/>
        <w:textAlignment w:val="auto"/>
        <w:rPr>
          <w:rFonts w:ascii="宋体" w:hAnsi="宋体" w:cs="宋体"/>
          <w:sz w:val="28"/>
          <w:szCs w:val="28"/>
        </w:rPr>
      </w:pPr>
      <w:bookmarkStart w:id="10" w:name="OLE_LINK1"/>
      <w:r>
        <w:rPr>
          <w:rFonts w:hint="eastAsia" w:ascii="宋体" w:hAnsi="宋体" w:cs="宋体"/>
          <w:sz w:val="28"/>
          <w:szCs w:val="28"/>
        </w:rPr>
        <w:t>项目公司</w:t>
      </w:r>
      <w:bookmarkEnd w:id="10"/>
      <w:r>
        <w:rPr>
          <w:rFonts w:hint="eastAsia" w:ascii="宋体" w:hAnsi="宋体" w:cs="宋体"/>
          <w:sz w:val="28"/>
          <w:szCs w:val="28"/>
        </w:rPr>
        <w:t>对项目运营管理采取委托专业运营方进行运作的模式，将相关基础设施的管理运营，约定区域的产业导入和招商引资，以及城市品牌的打造和营销推广委托给专业运营公司。项目公司主要行使对运营公司的绩效监督权利，并收取相应的管理费用。</w:t>
      </w:r>
    </w:p>
    <w:p>
      <w:pPr>
        <w:pageBreakBefore w:val="0"/>
        <w:kinsoku/>
        <w:wordWrap/>
        <w:overflowPunct/>
        <w:bidi w:val="0"/>
        <w:spacing w:line="520" w:lineRule="exact"/>
        <w:ind w:left="0" w:leftChars="0" w:right="0" w:rightChars="0" w:firstLine="560" w:firstLineChars="200"/>
        <w:textAlignment w:val="auto"/>
        <w:rPr>
          <w:rFonts w:ascii="宋体" w:hAnsi="宋体" w:cs="宋体"/>
          <w:sz w:val="28"/>
          <w:szCs w:val="28"/>
        </w:rPr>
      </w:pPr>
      <w:bookmarkStart w:id="11" w:name="OLE_LINK15"/>
      <w:r>
        <w:rPr>
          <w:rFonts w:hint="eastAsia" w:ascii="宋体" w:hAnsi="宋体" w:cs="宋体"/>
          <w:sz w:val="28"/>
          <w:szCs w:val="28"/>
        </w:rPr>
        <w:t>PPP项目投资总额为</w:t>
      </w:r>
      <w:bookmarkStart w:id="12" w:name="OLE_LINK36"/>
      <w:r>
        <w:rPr>
          <w:rFonts w:hint="eastAsia" w:ascii="宋体" w:hAnsi="宋体" w:cs="宋体"/>
          <w:sz w:val="28"/>
          <w:szCs w:val="28"/>
        </w:rPr>
        <w:t>305,257.99万元</w:t>
      </w:r>
      <w:bookmarkEnd w:id="12"/>
      <w:r>
        <w:rPr>
          <w:rFonts w:hint="eastAsia" w:ascii="宋体" w:hAnsi="宋体" w:cs="宋体"/>
          <w:sz w:val="28"/>
          <w:szCs w:val="28"/>
        </w:rPr>
        <w:t>。根据政府的采购要求，及项目第一期的实际情况，项目第一期总投资计划为11亿元，其中2016年计划投资5.5亿，2017年计划投资5.5亿。</w:t>
      </w:r>
    </w:p>
    <w:bookmarkEnd w:id="11"/>
    <w:p>
      <w:pPr>
        <w:pStyle w:val="23"/>
        <w:pageBreakBefore w:val="0"/>
        <w:kinsoku/>
        <w:wordWrap/>
        <w:overflowPunct/>
        <w:bidi w:val="0"/>
        <w:snapToGrid w:val="0"/>
        <w:spacing w:line="520" w:lineRule="exact"/>
        <w:ind w:left="0" w:leftChars="0" w:right="0" w:rightChars="0" w:firstLine="562" w:firstLineChars="200"/>
        <w:textAlignment w:val="auto"/>
        <w:rPr>
          <w:rFonts w:ascii="宋体" w:hAnsi="宋体" w:cs="宋体"/>
          <w:color w:val="auto"/>
          <w:sz w:val="28"/>
          <w:szCs w:val="28"/>
        </w:rPr>
      </w:pPr>
      <w:r>
        <w:rPr>
          <w:rFonts w:hint="eastAsia" w:ascii="宋体" w:hAnsi="宋体" w:cs="宋体"/>
          <w:b/>
          <w:bCs/>
          <w:color w:val="auto"/>
          <w:sz w:val="28"/>
          <w:szCs w:val="28"/>
        </w:rPr>
        <w:t>（2）项目运营管理</w:t>
      </w:r>
    </w:p>
    <w:p>
      <w:pPr>
        <w:pageBreakBefore w:val="0"/>
        <w:kinsoku/>
        <w:wordWrap/>
        <w:overflowPunct/>
        <w:bidi w:val="0"/>
        <w:spacing w:line="520" w:lineRule="exact"/>
        <w:ind w:left="0" w:leftChars="0" w:right="0" w:rightChars="0" w:firstLine="562" w:firstLineChars="200"/>
        <w:textAlignment w:val="auto"/>
        <w:rPr>
          <w:rFonts w:ascii="宋体" w:hAnsi="宋体" w:cs="宋体"/>
          <w:sz w:val="28"/>
          <w:szCs w:val="28"/>
        </w:rPr>
      </w:pPr>
      <w:r>
        <w:rPr>
          <w:rFonts w:hint="eastAsia" w:ascii="宋体" w:hAnsi="宋体"/>
          <w:b/>
          <w:bCs/>
          <w:sz w:val="28"/>
          <w:szCs w:val="28"/>
        </w:rPr>
        <w:t>1）</w:t>
      </w:r>
      <w:r>
        <w:rPr>
          <w:rFonts w:hint="eastAsia" w:ascii="宋体" w:hAnsi="宋体" w:cs="宋体"/>
          <w:sz w:val="28"/>
          <w:szCs w:val="28"/>
        </w:rPr>
        <w:t>阿尔山生态县域经济PPP项目包含设计、融资、建设、运营等领域，行业上包含生态修复、农林业、口岸贸易、旅游文化等，项目跨度大、复杂性高。阿尔山生态县域经济PPP项目为阿尔山生态保护及经济发展提供一揽子解决方案，SPV作为政府与社会资本合作的平台公司，最重要的职能是为政府、社会资本、产业运营商、金融机构、科研院所、消费者等相关方搭建合作平台和利益分享机制，使各方都能够参与到阿尔山的发展建设中，依托自身的专业能力发挥所长，获得合理利润。因此，</w:t>
      </w:r>
      <w:bookmarkStart w:id="13" w:name="OLE_LINK6"/>
      <w:r>
        <w:rPr>
          <w:rFonts w:hint="eastAsia" w:ascii="宋体" w:hAnsi="宋体" w:cs="宋体"/>
          <w:sz w:val="28"/>
          <w:szCs w:val="28"/>
        </w:rPr>
        <w:t>SPV对项目运营管理采取委托专业运营方进行运作的模式，将相关基础设施的管理运营，约定区域的产业导入和招商引资，以及城市品牌的打造和营销推广委托给专业运营公司。SPV主要行使对运营公司的绩效监督权利，并收取相应的管理费用。SPV对运营公司的管理制度分为运营公司准入条件，项目满足运营条件，运营标准及考核制度，运营方案制定及备案制度，运营维护及修理制度等。</w:t>
      </w:r>
    </w:p>
    <w:bookmarkEnd w:id="13"/>
    <w:p>
      <w:pPr>
        <w:pStyle w:val="3"/>
        <w:pageBreakBefore w:val="0"/>
        <w:kinsoku/>
        <w:wordWrap/>
        <w:overflowPunct/>
        <w:bidi w:val="0"/>
        <w:spacing w:before="0" w:after="0" w:line="520" w:lineRule="exact"/>
        <w:ind w:left="0" w:leftChars="0" w:right="0" w:rightChars="0" w:firstLine="562" w:firstLineChars="200"/>
        <w:textAlignment w:val="auto"/>
        <w:rPr>
          <w:rFonts w:ascii="宋体" w:hAnsi="宋体" w:eastAsia="宋体" w:cs="宋体"/>
          <w:sz w:val="28"/>
          <w:szCs w:val="28"/>
        </w:rPr>
      </w:pPr>
      <w:r>
        <w:rPr>
          <w:rFonts w:eastAsia="宋体"/>
          <w:sz w:val="28"/>
          <w:szCs w:val="28"/>
        </w:rPr>
        <w:t>2</w:t>
      </w:r>
      <w:r>
        <w:rPr>
          <w:rFonts w:hint="eastAsia" w:eastAsia="宋体"/>
          <w:sz w:val="28"/>
          <w:szCs w:val="28"/>
        </w:rPr>
        <w:t>）</w:t>
      </w:r>
      <w:r>
        <w:rPr>
          <w:rFonts w:hint="eastAsia" w:ascii="宋体" w:hAnsi="宋体" w:eastAsia="宋体" w:cs="宋体"/>
          <w:sz w:val="28"/>
          <w:szCs w:val="28"/>
        </w:rPr>
        <w:t>运营业务模块</w:t>
      </w:r>
    </w:p>
    <w:p>
      <w:pPr>
        <w:pageBreakBefore w:val="0"/>
        <w:widowControl/>
        <w:kinsoku/>
        <w:wordWrap/>
        <w:overflowPunct/>
        <w:autoSpaceDE w:val="0"/>
        <w:autoSpaceDN w:val="0"/>
        <w:bidi w:val="0"/>
        <w:adjustRightInd w:val="0"/>
        <w:spacing w:line="520" w:lineRule="exact"/>
        <w:ind w:left="0" w:leftChars="0" w:right="0" w:rightChars="0" w:firstLine="560" w:firstLineChars="200"/>
        <w:textAlignment w:val="auto"/>
        <w:rPr>
          <w:rFonts w:ascii="宋体" w:hAnsi="宋体" w:cs="宋体"/>
          <w:sz w:val="28"/>
          <w:szCs w:val="28"/>
        </w:rPr>
      </w:pPr>
      <w:r>
        <w:rPr>
          <w:rFonts w:ascii="宋体" w:hAnsi="宋体" w:cs="宋体"/>
          <w:sz w:val="28"/>
          <w:szCs w:val="28"/>
        </w:rPr>
        <w:t>a.</w:t>
      </w:r>
      <w:r>
        <w:rPr>
          <w:rFonts w:hint="eastAsia" w:ascii="宋体" w:hAnsi="宋体" w:cs="宋体"/>
          <w:sz w:val="28"/>
          <w:szCs w:val="28"/>
        </w:rPr>
        <w:t>生态与产业定位规划：为地方政府提供区域生态保护及产业发展定位规划；</w:t>
      </w:r>
    </w:p>
    <w:p>
      <w:pPr>
        <w:pageBreakBefore w:val="0"/>
        <w:widowControl/>
        <w:kinsoku/>
        <w:wordWrap/>
        <w:overflowPunct/>
        <w:autoSpaceDE w:val="0"/>
        <w:autoSpaceDN w:val="0"/>
        <w:bidi w:val="0"/>
        <w:adjustRightInd w:val="0"/>
        <w:spacing w:line="520" w:lineRule="exact"/>
        <w:ind w:left="0" w:leftChars="0" w:right="0" w:rightChars="0" w:firstLine="560" w:firstLineChars="200"/>
        <w:textAlignment w:val="auto"/>
        <w:rPr>
          <w:rFonts w:ascii="宋体" w:hAnsi="宋体" w:cs="宋体"/>
          <w:sz w:val="28"/>
          <w:szCs w:val="28"/>
        </w:rPr>
      </w:pPr>
      <w:r>
        <w:rPr>
          <w:rFonts w:ascii="宋体" w:hAnsi="宋体" w:cs="宋体"/>
          <w:sz w:val="28"/>
          <w:szCs w:val="28"/>
        </w:rPr>
        <w:t>b.</w:t>
      </w:r>
      <w:r>
        <w:rPr>
          <w:rFonts w:hint="eastAsia" w:ascii="宋体" w:hAnsi="宋体" w:cs="宋体"/>
          <w:sz w:val="28"/>
          <w:szCs w:val="28"/>
        </w:rPr>
        <w:t>PPP方案设计及实施机构整合：为地方政府及相关社会资本方设计PPP合作方案及利益分享机制，整合社会资本方进行PPP落地；</w:t>
      </w:r>
    </w:p>
    <w:p>
      <w:pPr>
        <w:pageBreakBefore w:val="0"/>
        <w:widowControl/>
        <w:kinsoku/>
        <w:wordWrap/>
        <w:overflowPunct/>
        <w:autoSpaceDE w:val="0"/>
        <w:autoSpaceDN w:val="0"/>
        <w:bidi w:val="0"/>
        <w:adjustRightInd w:val="0"/>
        <w:spacing w:line="520" w:lineRule="exact"/>
        <w:ind w:left="0" w:leftChars="0" w:right="0" w:rightChars="0" w:firstLine="560" w:firstLineChars="200"/>
        <w:textAlignment w:val="auto"/>
        <w:rPr>
          <w:rFonts w:ascii="宋体" w:hAnsi="宋体" w:cs="宋体"/>
          <w:sz w:val="28"/>
          <w:szCs w:val="28"/>
        </w:rPr>
      </w:pPr>
      <w:r>
        <w:rPr>
          <w:rFonts w:ascii="宋体" w:hAnsi="宋体" w:cs="宋体"/>
          <w:sz w:val="28"/>
          <w:szCs w:val="28"/>
        </w:rPr>
        <w:t>c.</w:t>
      </w:r>
      <w:r>
        <w:rPr>
          <w:rFonts w:hint="eastAsia" w:ascii="宋体" w:hAnsi="宋体" w:cs="宋体"/>
          <w:sz w:val="28"/>
          <w:szCs w:val="28"/>
        </w:rPr>
        <w:t>政府沟通及协调：为社会资本方提供政府沟通协调服务；</w:t>
      </w:r>
    </w:p>
    <w:p>
      <w:pPr>
        <w:pageBreakBefore w:val="0"/>
        <w:widowControl/>
        <w:kinsoku/>
        <w:wordWrap/>
        <w:overflowPunct/>
        <w:autoSpaceDE w:val="0"/>
        <w:autoSpaceDN w:val="0"/>
        <w:bidi w:val="0"/>
        <w:adjustRightInd w:val="0"/>
        <w:spacing w:line="520" w:lineRule="exact"/>
        <w:ind w:left="0" w:leftChars="0" w:right="0" w:rightChars="0" w:firstLine="560" w:firstLineChars="200"/>
        <w:textAlignment w:val="auto"/>
        <w:rPr>
          <w:rFonts w:ascii="宋体" w:hAnsi="宋体" w:cs="宋体"/>
          <w:sz w:val="28"/>
          <w:szCs w:val="28"/>
        </w:rPr>
      </w:pPr>
      <w:r>
        <w:rPr>
          <w:rFonts w:ascii="宋体" w:hAnsi="宋体" w:cs="宋体"/>
          <w:sz w:val="28"/>
          <w:szCs w:val="28"/>
        </w:rPr>
        <w:t>d.</w:t>
      </w:r>
      <w:r>
        <w:rPr>
          <w:rFonts w:hint="eastAsia" w:ascii="宋体" w:hAnsi="宋体" w:cs="宋体"/>
          <w:sz w:val="28"/>
          <w:szCs w:val="28"/>
        </w:rPr>
        <w:t>城镇品牌营销：为地方政府量身打造城市/镇品牌定位，提供营销推广服务；</w:t>
      </w:r>
    </w:p>
    <w:p>
      <w:pPr>
        <w:pageBreakBefore w:val="0"/>
        <w:widowControl/>
        <w:kinsoku/>
        <w:wordWrap/>
        <w:overflowPunct/>
        <w:autoSpaceDE w:val="0"/>
        <w:autoSpaceDN w:val="0"/>
        <w:bidi w:val="0"/>
        <w:adjustRightInd w:val="0"/>
        <w:spacing w:line="520" w:lineRule="exact"/>
        <w:ind w:left="0" w:leftChars="0" w:right="0" w:rightChars="0" w:firstLine="560" w:firstLineChars="200"/>
        <w:textAlignment w:val="auto"/>
        <w:rPr>
          <w:rFonts w:ascii="宋体" w:hAnsi="宋体" w:cs="宋体"/>
          <w:sz w:val="28"/>
          <w:szCs w:val="28"/>
        </w:rPr>
      </w:pPr>
      <w:r>
        <w:rPr>
          <w:rFonts w:ascii="宋体" w:hAnsi="宋体" w:cs="宋体"/>
          <w:sz w:val="28"/>
          <w:szCs w:val="28"/>
        </w:rPr>
        <w:t>e.</w:t>
      </w:r>
      <w:r>
        <w:rPr>
          <w:rFonts w:hint="eastAsia" w:ascii="宋体" w:hAnsi="宋体" w:cs="宋体"/>
          <w:sz w:val="28"/>
          <w:szCs w:val="28"/>
        </w:rPr>
        <w:t>项目投融资：为SPV提供融资服务；</w:t>
      </w:r>
    </w:p>
    <w:p>
      <w:pPr>
        <w:pageBreakBefore w:val="0"/>
        <w:widowControl/>
        <w:kinsoku/>
        <w:wordWrap/>
        <w:overflowPunct/>
        <w:autoSpaceDE w:val="0"/>
        <w:autoSpaceDN w:val="0"/>
        <w:bidi w:val="0"/>
        <w:adjustRightInd w:val="0"/>
        <w:spacing w:line="520" w:lineRule="exact"/>
        <w:ind w:left="0" w:leftChars="0" w:right="0" w:rightChars="0" w:firstLine="560" w:firstLineChars="200"/>
        <w:textAlignment w:val="auto"/>
        <w:rPr>
          <w:rFonts w:ascii="宋体" w:hAnsi="宋体" w:cs="宋体"/>
          <w:sz w:val="28"/>
          <w:szCs w:val="28"/>
        </w:rPr>
      </w:pPr>
      <w:r>
        <w:rPr>
          <w:rFonts w:ascii="宋体" w:hAnsi="宋体" w:cs="宋体"/>
          <w:sz w:val="28"/>
          <w:szCs w:val="28"/>
        </w:rPr>
        <w:t>f.</w:t>
      </w:r>
      <w:r>
        <w:rPr>
          <w:rFonts w:hint="eastAsia" w:ascii="宋体" w:hAnsi="宋体" w:cs="宋体"/>
          <w:sz w:val="28"/>
          <w:szCs w:val="28"/>
        </w:rPr>
        <w:t>产业招商及运营：为SPV提供产业招商及运营服务。</w:t>
      </w:r>
    </w:p>
    <w:p>
      <w:pPr>
        <w:pageBreakBefore w:val="0"/>
        <w:widowControl/>
        <w:kinsoku/>
        <w:wordWrap/>
        <w:overflowPunct/>
        <w:autoSpaceDE w:val="0"/>
        <w:autoSpaceDN w:val="0"/>
        <w:bidi w:val="0"/>
        <w:adjustRightInd w:val="0"/>
        <w:spacing w:line="52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3）运营方案</w:t>
      </w:r>
    </w:p>
    <w:p>
      <w:pPr>
        <w:pageBreakBefore w:val="0"/>
        <w:widowControl/>
        <w:kinsoku/>
        <w:wordWrap/>
        <w:overflowPunct/>
        <w:autoSpaceDE w:val="0"/>
        <w:autoSpaceDN w:val="0"/>
        <w:bidi w:val="0"/>
        <w:adjustRightInd w:val="0"/>
        <w:spacing w:line="52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由于本项目为片区型项目，各子项目将通过陆续签署《子项目建设运营合同》、《子项目PPP委托运营合同》等予以明确</w:t>
      </w:r>
      <w:bookmarkStart w:id="14" w:name="_Toc452215128"/>
      <w:bookmarkStart w:id="15" w:name="_Toc452215075"/>
      <w:r>
        <w:rPr>
          <w:rFonts w:hint="eastAsia" w:ascii="宋体" w:hAnsi="宋体" w:cs="宋体"/>
          <w:sz w:val="28"/>
          <w:szCs w:val="28"/>
        </w:rPr>
        <w:t>。</w:t>
      </w:r>
    </w:p>
    <w:bookmarkEnd w:id="14"/>
    <w:bookmarkEnd w:id="15"/>
    <w:p>
      <w:pPr>
        <w:pageBreakBefore w:val="0"/>
        <w:kinsoku/>
        <w:wordWrap/>
        <w:overflowPunct/>
        <w:bidi w:val="0"/>
        <w:spacing w:line="52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项目分为：</w:t>
      </w:r>
      <w:bookmarkStart w:id="16" w:name="OLE_LINK27"/>
      <w:r>
        <w:rPr>
          <w:rFonts w:hint="eastAsia" w:ascii="宋体" w:hAnsi="宋体" w:cs="宋体"/>
          <w:sz w:val="28"/>
          <w:szCs w:val="28"/>
        </w:rPr>
        <w:t>非经营性项目</w:t>
      </w:r>
      <w:bookmarkEnd w:id="16"/>
      <w:r>
        <w:rPr>
          <w:rFonts w:hint="eastAsia" w:ascii="宋体" w:hAnsi="宋体" w:cs="宋体"/>
          <w:sz w:val="28"/>
          <w:szCs w:val="28"/>
        </w:rPr>
        <w:t>，经营性及准经营性项目，招商引资及产业导入合作项目，存量项目运营四种类型。</w:t>
      </w:r>
    </w:p>
    <w:p>
      <w:pPr>
        <w:pageBreakBefore w:val="0"/>
        <w:kinsoku/>
        <w:wordWrap/>
        <w:overflowPunct/>
        <w:bidi w:val="0"/>
        <w:spacing w:line="520" w:lineRule="exact"/>
        <w:ind w:left="0" w:leftChars="0" w:right="0" w:rightChars="0" w:firstLine="560"/>
        <w:textAlignment w:val="auto"/>
        <w:rPr>
          <w:rFonts w:ascii="宋体" w:hAnsi="宋体" w:cs="宋体"/>
          <w:sz w:val="28"/>
          <w:szCs w:val="28"/>
        </w:rPr>
      </w:pPr>
      <w:r>
        <w:rPr>
          <w:rFonts w:hint="eastAsia" w:ascii="宋体" w:hAnsi="宋体" w:cs="宋体"/>
          <w:sz w:val="28"/>
          <w:szCs w:val="28"/>
        </w:rPr>
        <w:t>①非经营性项目：是指在合作期内并无运营收入的项目（包括正常运营管理情况下有运营收入，但出于战略考虑甲方要求不予收费的项目），由于项目的非经营性，此类项目的政府支付原则为政府付费，合作期原则上为10年，由于各子项目启动期不同，故约定各子项目的合作期不超过2046年，双方另有约定的除外。</w:t>
      </w:r>
    </w:p>
    <w:p>
      <w:pPr>
        <w:pageBreakBefore w:val="0"/>
        <w:kinsoku/>
        <w:wordWrap/>
        <w:overflowPunct/>
        <w:bidi w:val="0"/>
        <w:spacing w:line="520" w:lineRule="exact"/>
        <w:ind w:left="0" w:leftChars="0" w:right="0" w:rightChars="0" w:firstLine="560"/>
        <w:textAlignment w:val="auto"/>
        <w:rPr>
          <w:rFonts w:ascii="宋体" w:hAnsi="宋体" w:cs="宋体"/>
          <w:sz w:val="28"/>
          <w:szCs w:val="28"/>
        </w:rPr>
      </w:pPr>
      <w:r>
        <w:rPr>
          <w:rFonts w:hint="eastAsia" w:ascii="宋体" w:hAnsi="宋体" w:cs="宋体"/>
          <w:sz w:val="28"/>
          <w:szCs w:val="28"/>
        </w:rPr>
        <w:t>非经营性项目包括但不限于如下基本内容，具体以</w:t>
      </w:r>
      <w:bookmarkStart w:id="17" w:name="OLE_LINK28"/>
      <w:r>
        <w:rPr>
          <w:rFonts w:hint="eastAsia" w:ascii="宋体" w:hAnsi="宋体" w:cs="宋体"/>
          <w:sz w:val="28"/>
          <w:szCs w:val="28"/>
        </w:rPr>
        <w:t>《子项目建设运营合同》</w:t>
      </w:r>
      <w:bookmarkEnd w:id="17"/>
      <w:r>
        <w:rPr>
          <w:rFonts w:hint="eastAsia" w:ascii="宋体" w:hAnsi="宋体" w:cs="宋体"/>
          <w:sz w:val="28"/>
          <w:szCs w:val="28"/>
        </w:rPr>
        <w:t>为准：</w:t>
      </w:r>
    </w:p>
    <w:tbl>
      <w:tblPr>
        <w:tblStyle w:val="12"/>
        <w:tblpPr w:leftFromText="180" w:rightFromText="180" w:vertAnchor="text" w:horzAnchor="page" w:tblpX="1488" w:tblpY="184"/>
        <w:tblOverlap w:val="never"/>
        <w:tblW w:w="9060" w:type="dxa"/>
        <w:tblInd w:w="0" w:type="dxa"/>
        <w:shd w:val="clear" w:color="auto" w:fill="FFFFFF" w:themeFill="background1"/>
        <w:tblLayout w:type="fixed"/>
        <w:tblCellMar>
          <w:top w:w="0" w:type="dxa"/>
          <w:left w:w="0" w:type="dxa"/>
          <w:bottom w:w="0" w:type="dxa"/>
          <w:right w:w="0" w:type="dxa"/>
        </w:tblCellMar>
      </w:tblPr>
      <w:tblGrid>
        <w:gridCol w:w="2114"/>
        <w:gridCol w:w="2221"/>
        <w:gridCol w:w="4725"/>
      </w:tblGrid>
      <w:tr>
        <w:tblPrEx>
          <w:shd w:val="clear" w:color="auto" w:fill="FFFFFF" w:themeFill="background1"/>
          <w:tblLayout w:type="fixed"/>
          <w:tblCellMar>
            <w:top w:w="0" w:type="dxa"/>
            <w:left w:w="0" w:type="dxa"/>
            <w:bottom w:w="0" w:type="dxa"/>
            <w:right w:w="0" w:type="dxa"/>
          </w:tblCellMar>
        </w:tblPrEx>
        <w:trPr>
          <w:trHeight w:val="389" w:hRule="atLeast"/>
        </w:trPr>
        <w:tc>
          <w:tcPr>
            <w:tcW w:w="2114" w:type="dxa"/>
            <w:tcBorders>
              <w:top w:val="single" w:color="auto" w:sz="4" w:space="0"/>
              <w:left w:val="single" w:color="auto" w:sz="4" w:space="0"/>
              <w:bottom w:val="single" w:color="auto" w:sz="4" w:space="0"/>
              <w:right w:val="single" w:color="auto"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b/>
                <w:bCs/>
                <w:sz w:val="24"/>
              </w:rPr>
            </w:pPr>
            <w:r>
              <w:rPr>
                <w:rFonts w:hint="eastAsia" w:ascii="宋体" w:hAnsi="宋体" w:cs="宋体"/>
                <w:b/>
                <w:bCs/>
                <w:sz w:val="24"/>
              </w:rPr>
              <w:t>项目类型</w:t>
            </w:r>
          </w:p>
        </w:tc>
        <w:tc>
          <w:tcPr>
            <w:tcW w:w="2221" w:type="dxa"/>
            <w:tcBorders>
              <w:top w:val="single" w:color="000000" w:sz="4" w:space="0"/>
              <w:left w:val="single" w:color="auto"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b/>
                <w:bCs/>
                <w:sz w:val="24"/>
              </w:rPr>
            </w:pPr>
            <w:r>
              <w:rPr>
                <w:rFonts w:hint="eastAsia" w:ascii="宋体" w:hAnsi="宋体" w:cs="宋体"/>
                <w:b/>
                <w:bCs/>
                <w:sz w:val="24"/>
              </w:rPr>
              <w:t>项目内容</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b/>
                <w:bCs/>
                <w:sz w:val="24"/>
              </w:rPr>
            </w:pPr>
            <w:r>
              <w:rPr>
                <w:rFonts w:hint="eastAsia" w:ascii="宋体" w:hAnsi="宋体" w:cs="宋体"/>
                <w:b/>
                <w:bCs/>
                <w:sz w:val="24"/>
              </w:rPr>
              <w:t>具体内容</w:t>
            </w:r>
          </w:p>
        </w:tc>
      </w:tr>
      <w:tr>
        <w:tblPrEx>
          <w:tblLayout w:type="fixed"/>
          <w:tblCellMar>
            <w:top w:w="0" w:type="dxa"/>
            <w:left w:w="0" w:type="dxa"/>
            <w:bottom w:w="0" w:type="dxa"/>
            <w:right w:w="0" w:type="dxa"/>
          </w:tblCellMar>
        </w:tblPrEx>
        <w:trPr>
          <w:trHeight w:val="389" w:hRule="atLeast"/>
        </w:trPr>
        <w:tc>
          <w:tcPr>
            <w:tcW w:w="2114" w:type="dxa"/>
            <w:vMerge w:val="restart"/>
            <w:tcBorders>
              <w:top w:val="single" w:color="auto" w:sz="4" w:space="0"/>
              <w:left w:val="single" w:color="auto" w:sz="4" w:space="0"/>
              <w:right w:val="single" w:color="auto"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b/>
                <w:bCs/>
                <w:sz w:val="24"/>
              </w:rPr>
            </w:pPr>
            <w:r>
              <w:rPr>
                <w:rFonts w:hint="eastAsia" w:ascii="宋体" w:hAnsi="宋体" w:cs="宋体"/>
                <w:b/>
                <w:bCs/>
                <w:sz w:val="24"/>
              </w:rPr>
              <w:t>非经营性项目</w:t>
            </w:r>
          </w:p>
          <w:p>
            <w:pPr>
              <w:spacing w:line="260" w:lineRule="exact"/>
              <w:jc w:val="center"/>
              <w:rPr>
                <w:rFonts w:ascii="宋体" w:hAnsi="宋体" w:cs="宋体"/>
                <w:b/>
                <w:bCs/>
                <w:sz w:val="24"/>
              </w:rPr>
            </w:pPr>
            <w:r>
              <w:rPr>
                <w:rFonts w:hint="eastAsia" w:ascii="宋体" w:hAnsi="宋体" w:cs="宋体"/>
                <w:b/>
                <w:bCs/>
                <w:sz w:val="24"/>
              </w:rPr>
              <w:t>（政府付费）</w:t>
            </w:r>
          </w:p>
        </w:tc>
        <w:tc>
          <w:tcPr>
            <w:tcW w:w="2221" w:type="dxa"/>
            <w:tcBorders>
              <w:top w:val="single" w:color="000000" w:sz="4" w:space="0"/>
              <w:left w:val="single" w:color="auto"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口岸绿化</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480" w:firstLineChars="200"/>
              <w:rPr>
                <w:rFonts w:ascii="宋体" w:hAnsi="宋体" w:cs="宋体"/>
                <w:sz w:val="24"/>
              </w:rPr>
            </w:pP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白狼</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白狼生态&amp;绿化（含洮儿河）</w:t>
            </w:r>
          </w:p>
        </w:tc>
      </w:tr>
      <w:tr>
        <w:tblPrEx>
          <w:tblLayout w:type="fixed"/>
          <w:tblCellMar>
            <w:top w:w="0" w:type="dxa"/>
            <w:left w:w="0" w:type="dxa"/>
            <w:bottom w:w="0" w:type="dxa"/>
            <w:right w:w="0" w:type="dxa"/>
          </w:tblCellMar>
        </w:tblPrEx>
        <w:trPr>
          <w:trHeight w:val="77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ind w:firstLine="480" w:firstLineChars="200"/>
              <w:jc w:val="center"/>
              <w:rPr>
                <w:rFonts w:ascii="宋体" w:hAnsi="宋体" w:cs="宋体"/>
                <w:sz w:val="24"/>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白狼环境整治（含老鹿村改造、新村建设、外立面）</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ind w:firstLine="480" w:firstLineChars="200"/>
              <w:jc w:val="center"/>
              <w:rPr>
                <w:rFonts w:ascii="宋体" w:hAnsi="宋体" w:cs="宋体"/>
                <w:sz w:val="24"/>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白狼镇饮水工程</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五岔沟</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五岔沟环境整治</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明水河镇</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西口村综合环境整治</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ind w:firstLine="480" w:firstLineChars="200"/>
              <w:jc w:val="center"/>
              <w:rPr>
                <w:rFonts w:ascii="宋体" w:hAnsi="宋体" w:cs="宋体"/>
                <w:sz w:val="24"/>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镇区综合环境整治</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规划设计费用</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480" w:firstLineChars="200"/>
              <w:rPr>
                <w:rFonts w:ascii="宋体" w:hAnsi="宋体" w:cs="宋体"/>
                <w:sz w:val="24"/>
              </w:rPr>
            </w:pPr>
            <w:r>
              <w:rPr>
                <w:rFonts w:hint="eastAsia" w:ascii="宋体" w:hAnsi="宋体" w:cs="宋体"/>
                <w:sz w:val="24"/>
              </w:rPr>
              <w:t>　</w:t>
            </w:r>
          </w:p>
        </w:tc>
      </w:tr>
      <w:tr>
        <w:tblPrEx>
          <w:tblLayout w:type="fixed"/>
          <w:tblCellMar>
            <w:top w:w="0" w:type="dxa"/>
            <w:left w:w="0" w:type="dxa"/>
            <w:bottom w:w="0" w:type="dxa"/>
            <w:right w:w="0" w:type="dxa"/>
          </w:tblCellMar>
        </w:tblPrEx>
        <w:trPr>
          <w:trHeight w:val="116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智慧城市系统建设</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口岸园区、阿尔山林业覆盖区、岭南三镇的信息化硬件设施投入及运营</w:t>
            </w:r>
          </w:p>
        </w:tc>
      </w:tr>
      <w:tr>
        <w:tblPrEx>
          <w:tblLayout w:type="fixed"/>
          <w:tblCellMar>
            <w:top w:w="0" w:type="dxa"/>
            <w:left w:w="0" w:type="dxa"/>
            <w:bottom w:w="0" w:type="dxa"/>
            <w:right w:w="0" w:type="dxa"/>
          </w:tblCellMar>
        </w:tblPrEx>
        <w:trPr>
          <w:trHeight w:val="678"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节庆活动</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自驾车露营节</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ind w:firstLine="480" w:firstLineChars="200"/>
              <w:jc w:val="center"/>
              <w:rPr>
                <w:rFonts w:ascii="宋体" w:hAnsi="宋体" w:cs="宋体"/>
                <w:sz w:val="24"/>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圣水节</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ind w:firstLine="480" w:firstLineChars="200"/>
              <w:jc w:val="center"/>
              <w:rPr>
                <w:rFonts w:ascii="宋体" w:hAnsi="宋体" w:cs="宋体"/>
                <w:sz w:val="24"/>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森林音乐节</w:t>
            </w:r>
          </w:p>
        </w:tc>
      </w:tr>
      <w:tr>
        <w:tblPrEx>
          <w:tblLayout w:type="fixed"/>
          <w:tblCellMar>
            <w:top w:w="0" w:type="dxa"/>
            <w:left w:w="0" w:type="dxa"/>
            <w:bottom w:w="0" w:type="dxa"/>
            <w:right w:w="0" w:type="dxa"/>
          </w:tblCellMar>
        </w:tblPrEx>
        <w:trPr>
          <w:trHeight w:val="389" w:hRule="atLeast"/>
        </w:trPr>
        <w:tc>
          <w:tcPr>
            <w:tcW w:w="2114" w:type="dxa"/>
            <w:vMerge w:val="continue"/>
            <w:tcBorders>
              <w:left w:val="single" w:color="auto"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60" w:lineRule="exact"/>
              <w:ind w:firstLine="480" w:firstLineChars="200"/>
              <w:jc w:val="center"/>
              <w:rPr>
                <w:rFonts w:ascii="宋体" w:hAnsi="宋体" w:cs="宋体"/>
                <w:sz w:val="24"/>
              </w:rPr>
            </w:pP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120" w:firstLineChars="50"/>
              <w:rPr>
                <w:rFonts w:ascii="宋体" w:hAnsi="宋体" w:cs="宋体"/>
                <w:sz w:val="24"/>
              </w:rPr>
            </w:pPr>
            <w:r>
              <w:rPr>
                <w:rFonts w:hint="eastAsia" w:ascii="宋体" w:hAnsi="宋体" w:cs="宋体"/>
                <w:sz w:val="24"/>
              </w:rPr>
              <w:t>嬉雪节</w:t>
            </w:r>
          </w:p>
        </w:tc>
      </w:tr>
      <w:tr>
        <w:tblPrEx>
          <w:tblLayout w:type="fixed"/>
          <w:tblCellMar>
            <w:top w:w="0" w:type="dxa"/>
            <w:left w:w="0" w:type="dxa"/>
            <w:bottom w:w="0" w:type="dxa"/>
            <w:right w:w="0" w:type="dxa"/>
          </w:tblCellMar>
        </w:tblPrEx>
        <w:trPr>
          <w:trHeight w:val="779" w:hRule="atLeast"/>
        </w:trPr>
        <w:tc>
          <w:tcPr>
            <w:tcW w:w="2114" w:type="dxa"/>
            <w:vMerge w:val="continue"/>
            <w:tcBorders>
              <w:left w:val="single" w:color="auto" w:sz="4" w:space="0"/>
              <w:bottom w:val="single" w:color="000000" w:sz="4" w:space="0"/>
              <w:right w:val="single" w:color="auto" w:sz="4" w:space="0"/>
            </w:tcBorders>
            <w:shd w:val="clear" w:color="auto" w:fill="FFFFFF" w:themeFill="background1"/>
            <w:vAlign w:val="center"/>
          </w:tcPr>
          <w:p>
            <w:pPr>
              <w:spacing w:line="260" w:lineRule="exact"/>
              <w:ind w:firstLine="480" w:firstLineChars="200"/>
              <w:rPr>
                <w:rFonts w:ascii="宋体" w:hAnsi="宋体" w:cs="宋体"/>
                <w:sz w:val="24"/>
              </w:rPr>
            </w:pPr>
          </w:p>
        </w:tc>
        <w:tc>
          <w:tcPr>
            <w:tcW w:w="22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jc w:val="center"/>
              <w:rPr>
                <w:rFonts w:ascii="宋体" w:hAnsi="宋体" w:cs="宋体"/>
                <w:sz w:val="24"/>
              </w:rPr>
            </w:pPr>
            <w:r>
              <w:rPr>
                <w:rFonts w:hint="eastAsia" w:ascii="宋体" w:hAnsi="宋体" w:cs="宋体"/>
                <w:sz w:val="24"/>
              </w:rPr>
              <w:t>大交通运营补贴+生态体育</w:t>
            </w:r>
          </w:p>
        </w:tc>
        <w:tc>
          <w:tcPr>
            <w:tcW w:w="47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4" w:type="dxa"/>
              <w:left w:w="14" w:type="dxa"/>
              <w:bottom w:w="0" w:type="dxa"/>
              <w:right w:w="14" w:type="dxa"/>
            </w:tcMar>
            <w:vAlign w:val="center"/>
          </w:tcPr>
          <w:p>
            <w:pPr>
              <w:spacing w:line="260" w:lineRule="exact"/>
              <w:ind w:firstLine="480" w:firstLineChars="200"/>
              <w:rPr>
                <w:rFonts w:ascii="宋体" w:hAnsi="宋体" w:cs="宋体"/>
                <w:sz w:val="24"/>
              </w:rPr>
            </w:pPr>
            <w:r>
              <w:rPr>
                <w:rFonts w:hint="eastAsia" w:ascii="宋体" w:hAnsi="宋体" w:cs="宋体"/>
                <w:sz w:val="24"/>
              </w:rPr>
              <w:t>　</w:t>
            </w:r>
          </w:p>
        </w:tc>
      </w:tr>
    </w:tbl>
    <w:p>
      <w:pPr>
        <w:spacing w:line="540" w:lineRule="exact"/>
        <w:rPr>
          <w:rFonts w:ascii="宋体" w:hAnsi="宋体" w:cs="宋体"/>
          <w:sz w:val="28"/>
          <w:szCs w:val="28"/>
        </w:rPr>
      </w:pPr>
      <w:r>
        <w:rPr>
          <w:rFonts w:hint="eastAsia" w:ascii="宋体" w:hAnsi="宋体" w:cs="宋体"/>
          <w:sz w:val="28"/>
          <w:szCs w:val="28"/>
        </w:rPr>
        <w:t xml:space="preserve">   </w:t>
      </w:r>
      <w:bookmarkStart w:id="18" w:name="OLE_LINK25"/>
      <w:r>
        <w:rPr>
          <w:rFonts w:hint="eastAsia" w:ascii="宋体" w:hAnsi="宋体" w:cs="宋体"/>
          <w:sz w:val="28"/>
          <w:szCs w:val="28"/>
        </w:rPr>
        <w:t xml:space="preserve"> </w:t>
      </w:r>
      <w:r>
        <w:rPr>
          <w:rFonts w:hint="eastAsia" w:ascii="宋体" w:hAnsi="宋体" w:cs="宋体"/>
          <w:sz w:val="28"/>
          <w:szCs w:val="28"/>
        </w:rPr>
        <w:sym w:font="Wingdings" w:char="F082"/>
      </w:r>
      <w:r>
        <w:rPr>
          <w:rFonts w:hint="eastAsia" w:ascii="宋体" w:hAnsi="宋体" w:cs="宋体"/>
          <w:sz w:val="28"/>
          <w:szCs w:val="28"/>
        </w:rPr>
        <w:t>准经营及经营性项目：是指基于基础设施建设及在此基础上的运营可产生运营收入的项目或基于已建成的基础设施，通过委托运营等模式可产生运营收入的项目。此类项目在合作期内可获得部分运营收入，具备一定经营性，政府付费原则为政府可行性缺口补助，从第一期项目启动开始合作期30年。</w:t>
      </w:r>
    </w:p>
    <w:p>
      <w:pPr>
        <w:spacing w:line="540" w:lineRule="exact"/>
        <w:ind w:firstLine="570"/>
        <w:rPr>
          <w:rFonts w:ascii="宋体" w:hAnsi="宋体" w:cs="宋体"/>
          <w:sz w:val="28"/>
          <w:szCs w:val="28"/>
        </w:rPr>
      </w:pPr>
      <w:r>
        <w:rPr>
          <w:rFonts w:hint="eastAsia" w:ascii="宋体" w:hAnsi="宋体" w:cs="宋体"/>
          <w:sz w:val="28"/>
          <w:szCs w:val="28"/>
        </w:rPr>
        <w:t>准经营及经营性项目包括但不限于如下基本内容，具体以《子项目建设运营合同》、《子项目委托运营合同》为准：</w:t>
      </w:r>
    </w:p>
    <w:tbl>
      <w:tblPr>
        <w:tblStyle w:val="12"/>
        <w:tblpPr w:leftFromText="180" w:rightFromText="180" w:vertAnchor="text" w:horzAnchor="page" w:tblpX="1474" w:tblpY="375"/>
        <w:tblW w:w="8982" w:type="dxa"/>
        <w:tblInd w:w="0" w:type="dxa"/>
        <w:shd w:val="clear" w:color="auto" w:fill="FFFFFF" w:themeFill="background1"/>
        <w:tblLayout w:type="fixed"/>
        <w:tblCellMar>
          <w:top w:w="0" w:type="dxa"/>
          <w:left w:w="0" w:type="dxa"/>
          <w:bottom w:w="0" w:type="dxa"/>
          <w:right w:w="0" w:type="dxa"/>
        </w:tblCellMar>
      </w:tblPr>
      <w:tblGrid>
        <w:gridCol w:w="2172"/>
        <w:gridCol w:w="6810"/>
      </w:tblGrid>
      <w:tr>
        <w:tblPrEx>
          <w:shd w:val="clear" w:color="auto" w:fill="FFFFFF" w:themeFill="background1"/>
          <w:tblLayout w:type="fixed"/>
          <w:tblCellMar>
            <w:top w:w="0" w:type="dxa"/>
            <w:left w:w="0" w:type="dxa"/>
            <w:bottom w:w="0" w:type="dxa"/>
            <w:right w:w="0" w:type="dxa"/>
          </w:tblCellMar>
        </w:tblPrEx>
        <w:trPr>
          <w:trHeight w:val="459" w:hRule="atLeast"/>
        </w:trPr>
        <w:tc>
          <w:tcPr>
            <w:tcW w:w="2172"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b/>
                <w:bCs/>
                <w:sz w:val="24"/>
              </w:rPr>
              <w:t>项目类型</w:t>
            </w:r>
          </w:p>
        </w:tc>
        <w:tc>
          <w:tcPr>
            <w:tcW w:w="6810" w:type="dxa"/>
            <w:tcBorders>
              <w:top w:val="single" w:color="000000" w:sz="4" w:space="0"/>
              <w:left w:val="single" w:color="auto"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jc w:val="center"/>
              <w:rPr>
                <w:rFonts w:ascii="宋体" w:hAnsi="宋体" w:cs="宋体"/>
                <w:sz w:val="24"/>
              </w:rPr>
            </w:pPr>
            <w:r>
              <w:rPr>
                <w:rFonts w:hint="eastAsia" w:ascii="宋体" w:hAnsi="宋体" w:cs="宋体"/>
                <w:b/>
                <w:bCs/>
                <w:sz w:val="24"/>
              </w:rPr>
              <w:t>项目内容</w:t>
            </w:r>
          </w:p>
        </w:tc>
      </w:tr>
      <w:tr>
        <w:tblPrEx>
          <w:tblLayout w:type="fixed"/>
          <w:tblCellMar>
            <w:top w:w="0" w:type="dxa"/>
            <w:left w:w="0" w:type="dxa"/>
            <w:bottom w:w="0" w:type="dxa"/>
            <w:right w:w="0" w:type="dxa"/>
          </w:tblCellMar>
        </w:tblPrEx>
        <w:trPr>
          <w:trHeight w:val="459" w:hRule="atLeast"/>
        </w:trPr>
        <w:tc>
          <w:tcPr>
            <w:tcW w:w="2172" w:type="dxa"/>
            <w:vMerge w:val="restart"/>
            <w:tcBorders>
              <w:top w:val="single" w:color="auto" w:sz="4" w:space="0"/>
              <w:left w:val="single" w:color="auto" w:sz="4" w:space="0"/>
              <w:right w:val="single" w:color="auto" w:sz="4" w:space="0"/>
            </w:tcBorders>
            <w:shd w:val="clear" w:color="auto" w:fill="FFFFFF" w:themeFill="background1"/>
            <w:tcMar>
              <w:top w:w="15" w:type="dxa"/>
              <w:left w:w="15" w:type="dxa"/>
              <w:bottom w:w="0" w:type="dxa"/>
              <w:right w:w="15" w:type="dxa"/>
            </w:tcMar>
            <w:vAlign w:val="center"/>
          </w:tcPr>
          <w:p>
            <w:pPr>
              <w:spacing w:line="360" w:lineRule="auto"/>
              <w:jc w:val="center"/>
              <w:rPr>
                <w:rFonts w:ascii="宋体" w:hAnsi="宋体" w:cs="宋体"/>
                <w:sz w:val="24"/>
              </w:rPr>
            </w:pPr>
            <w:r>
              <w:rPr>
                <w:rFonts w:hint="eastAsia" w:ascii="宋体" w:hAnsi="宋体" w:cs="宋体"/>
                <w:b/>
                <w:bCs/>
                <w:sz w:val="24"/>
              </w:rPr>
              <w:t>准经营及经营性项目</w:t>
            </w:r>
          </w:p>
          <w:p>
            <w:pPr>
              <w:spacing w:line="360" w:lineRule="auto"/>
              <w:jc w:val="center"/>
              <w:rPr>
                <w:rFonts w:ascii="宋体" w:hAnsi="宋体" w:cs="宋体"/>
                <w:b/>
                <w:bCs/>
                <w:sz w:val="24"/>
              </w:rPr>
            </w:pPr>
            <w:r>
              <w:rPr>
                <w:rFonts w:hint="eastAsia" w:ascii="宋体" w:hAnsi="宋体" w:cs="宋体"/>
                <w:b/>
                <w:bCs/>
                <w:sz w:val="24"/>
              </w:rPr>
              <w:t>（可行性缺口补助）</w:t>
            </w:r>
          </w:p>
        </w:tc>
        <w:tc>
          <w:tcPr>
            <w:tcW w:w="6810" w:type="dxa"/>
            <w:tcBorders>
              <w:top w:val="single" w:color="000000" w:sz="4" w:space="0"/>
              <w:left w:val="single" w:color="auto"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农业现代产业园</w:t>
            </w:r>
          </w:p>
        </w:tc>
      </w:tr>
      <w:tr>
        <w:tblPrEx>
          <w:tblLayout w:type="fixed"/>
          <w:tblCellMar>
            <w:top w:w="0" w:type="dxa"/>
            <w:left w:w="0" w:type="dxa"/>
            <w:bottom w:w="0" w:type="dxa"/>
            <w:right w:w="0" w:type="dxa"/>
          </w:tblCellMar>
        </w:tblPrEx>
        <w:trPr>
          <w:trHeight w:val="459"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auto"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国际航空港</w:t>
            </w:r>
          </w:p>
        </w:tc>
      </w:tr>
      <w:tr>
        <w:tblPrEx>
          <w:tblLayout w:type="fixed"/>
          <w:tblCellMar>
            <w:top w:w="0" w:type="dxa"/>
            <w:left w:w="0" w:type="dxa"/>
            <w:bottom w:w="0" w:type="dxa"/>
            <w:right w:w="0" w:type="dxa"/>
          </w:tblCellMar>
        </w:tblPrEx>
        <w:trPr>
          <w:trHeight w:val="459"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auto"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野生动植物园</w:t>
            </w:r>
          </w:p>
        </w:tc>
      </w:tr>
      <w:tr>
        <w:tblPrEx>
          <w:tblLayout w:type="fixed"/>
          <w:tblCellMar>
            <w:top w:w="0" w:type="dxa"/>
            <w:left w:w="0" w:type="dxa"/>
            <w:bottom w:w="0" w:type="dxa"/>
            <w:right w:w="0" w:type="dxa"/>
          </w:tblCellMar>
        </w:tblPrEx>
        <w:trPr>
          <w:trHeight w:val="459"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auto"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白狼游客中心+自驾车营地</w:t>
            </w:r>
          </w:p>
        </w:tc>
      </w:tr>
      <w:tr>
        <w:tblPrEx>
          <w:tblLayout w:type="fixed"/>
          <w:tblCellMar>
            <w:top w:w="0" w:type="dxa"/>
            <w:left w:w="0" w:type="dxa"/>
            <w:bottom w:w="0" w:type="dxa"/>
            <w:right w:w="0" w:type="dxa"/>
          </w:tblCellMar>
        </w:tblPrEx>
        <w:trPr>
          <w:trHeight w:val="459"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auto"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口岸集散中心</w:t>
            </w:r>
          </w:p>
        </w:tc>
      </w:tr>
      <w:tr>
        <w:tblPrEx>
          <w:tblLayout w:type="fixed"/>
          <w:tblCellMar>
            <w:top w:w="0" w:type="dxa"/>
            <w:left w:w="0" w:type="dxa"/>
            <w:bottom w:w="0" w:type="dxa"/>
            <w:right w:w="0" w:type="dxa"/>
          </w:tblCellMar>
        </w:tblPrEx>
        <w:trPr>
          <w:trHeight w:val="782"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auto"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口岸标志性文化建筑（敖包、木栈道）</w:t>
            </w:r>
          </w:p>
        </w:tc>
      </w:tr>
      <w:tr>
        <w:tblPrEx>
          <w:tblLayout w:type="fixed"/>
          <w:tblCellMar>
            <w:top w:w="0" w:type="dxa"/>
            <w:left w:w="0" w:type="dxa"/>
            <w:bottom w:w="0" w:type="dxa"/>
            <w:right w:w="0" w:type="dxa"/>
          </w:tblCellMar>
        </w:tblPrEx>
        <w:trPr>
          <w:trHeight w:val="459"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口岸物流园区基础设施</w:t>
            </w:r>
          </w:p>
        </w:tc>
      </w:tr>
      <w:tr>
        <w:tblPrEx>
          <w:tblLayout w:type="fixed"/>
          <w:tblCellMar>
            <w:top w:w="0" w:type="dxa"/>
            <w:left w:w="0" w:type="dxa"/>
            <w:bottom w:w="0" w:type="dxa"/>
            <w:right w:w="0" w:type="dxa"/>
          </w:tblCellMar>
        </w:tblPrEx>
        <w:trPr>
          <w:trHeight w:val="459"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航线运营</w:t>
            </w:r>
          </w:p>
        </w:tc>
      </w:tr>
      <w:tr>
        <w:tblPrEx>
          <w:tblLayout w:type="fixed"/>
          <w:tblCellMar>
            <w:top w:w="0" w:type="dxa"/>
            <w:left w:w="0" w:type="dxa"/>
            <w:bottom w:w="0" w:type="dxa"/>
            <w:right w:w="0" w:type="dxa"/>
          </w:tblCellMar>
        </w:tblPrEx>
        <w:trPr>
          <w:trHeight w:val="459"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演艺产品打造</w:t>
            </w:r>
          </w:p>
        </w:tc>
      </w:tr>
      <w:tr>
        <w:tblPrEx>
          <w:tblLayout w:type="fixed"/>
          <w:tblCellMar>
            <w:top w:w="0" w:type="dxa"/>
            <w:left w:w="0" w:type="dxa"/>
            <w:bottom w:w="0" w:type="dxa"/>
            <w:right w:w="0" w:type="dxa"/>
          </w:tblCellMar>
        </w:tblPrEx>
        <w:trPr>
          <w:trHeight w:val="595"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项目范围之内的城市公共设施的建设、维护及运营</w:t>
            </w:r>
          </w:p>
        </w:tc>
      </w:tr>
      <w:tr>
        <w:tblPrEx>
          <w:tblLayout w:type="fixed"/>
          <w:tblCellMar>
            <w:top w:w="0" w:type="dxa"/>
            <w:left w:w="0" w:type="dxa"/>
            <w:bottom w:w="0" w:type="dxa"/>
            <w:right w:w="0" w:type="dxa"/>
          </w:tblCellMar>
        </w:tblPrEx>
        <w:trPr>
          <w:trHeight w:val="595"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演艺产品打造</w:t>
            </w:r>
          </w:p>
        </w:tc>
      </w:tr>
      <w:tr>
        <w:tblPrEx>
          <w:tblLayout w:type="fixed"/>
          <w:tblCellMar>
            <w:top w:w="0" w:type="dxa"/>
            <w:left w:w="0" w:type="dxa"/>
            <w:bottom w:w="0" w:type="dxa"/>
            <w:right w:w="0" w:type="dxa"/>
          </w:tblCellMar>
        </w:tblPrEx>
        <w:trPr>
          <w:trHeight w:val="595" w:hRule="atLeast"/>
        </w:trPr>
        <w:tc>
          <w:tcPr>
            <w:tcW w:w="2172" w:type="dxa"/>
            <w:vMerge w:val="continue"/>
            <w:tcBorders>
              <w:left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航线运营</w:t>
            </w:r>
          </w:p>
        </w:tc>
      </w:tr>
      <w:tr>
        <w:tblPrEx>
          <w:tblLayout w:type="fixed"/>
          <w:tblCellMar>
            <w:top w:w="0" w:type="dxa"/>
            <w:left w:w="0" w:type="dxa"/>
            <w:bottom w:w="0" w:type="dxa"/>
            <w:right w:w="0" w:type="dxa"/>
          </w:tblCellMar>
        </w:tblPrEx>
        <w:trPr>
          <w:trHeight w:val="595" w:hRule="atLeast"/>
        </w:trPr>
        <w:tc>
          <w:tcPr>
            <w:tcW w:w="2172" w:type="dxa"/>
            <w:vMerge w:val="continue"/>
            <w:tcBorders>
              <w:left w:val="single" w:color="auto" w:sz="4" w:space="0"/>
              <w:bottom w:val="single" w:color="auto" w:sz="4" w:space="0"/>
              <w:right w:val="single" w:color="auto"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68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ind w:firstLine="120" w:firstLineChars="50"/>
              <w:rPr>
                <w:rFonts w:ascii="宋体" w:hAnsi="宋体" w:cs="宋体"/>
                <w:sz w:val="24"/>
              </w:rPr>
            </w:pPr>
            <w:r>
              <w:rPr>
                <w:rFonts w:hint="eastAsia" w:ascii="宋体" w:hAnsi="宋体" w:cs="宋体"/>
                <w:sz w:val="24"/>
              </w:rPr>
              <w:t>广告宣传（城市营销）</w:t>
            </w:r>
          </w:p>
        </w:tc>
      </w:tr>
      <w:bookmarkEnd w:id="18"/>
    </w:tbl>
    <w:p>
      <w:pPr>
        <w:spacing w:line="5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sym w:font="Wingdings" w:char="F083"/>
      </w:r>
      <w:r>
        <w:rPr>
          <w:rFonts w:hint="eastAsia" w:ascii="宋体" w:hAnsi="宋体" w:cs="宋体"/>
          <w:sz w:val="28"/>
          <w:szCs w:val="28"/>
        </w:rPr>
        <w:t>招商引资及产业导入合作项目：是指在合作期内，SPV在约定区域内开展的招商引资及产业导入型合作项目。此类项目需约定区域具备一定基础条件后方可引入，政府付费原则为按绩效付费，即在约定的区域范围内通过乙方招商引资及产业导入服务，以项目公司通过招商引资及产业导入带来的投资额为绩效考核基础，服务费按照招商引资及产业导入所确认的投资总额的一定比例进行支付。绩效考核方式及数额通过另行制定《招商引资和产业导入子协议》予以明确。政府按照《招商引资和产业导入子协议》约定的内容、比例及数额向项目公司支付招商引资和产业导入的服务费，但原则上必须满足社会资本的合理回报。</w:t>
      </w:r>
    </w:p>
    <w:p>
      <w:pPr>
        <w:spacing w:line="500" w:lineRule="exact"/>
        <w:ind w:firstLine="480"/>
        <w:rPr>
          <w:rFonts w:ascii="宋体" w:hAnsi="宋体" w:cs="宋体"/>
          <w:sz w:val="28"/>
          <w:szCs w:val="28"/>
        </w:rPr>
      </w:pPr>
      <w:r>
        <w:rPr>
          <w:rFonts w:hint="eastAsia" w:ascii="宋体" w:hAnsi="宋体" w:cs="宋体"/>
          <w:sz w:val="28"/>
          <w:szCs w:val="28"/>
        </w:rPr>
        <w:t>招商引资及产业导入合作项目主要为如下内容，具体以《子项目建设运营合同》或《子项目委托运营合同》为准：</w:t>
      </w:r>
    </w:p>
    <w:tbl>
      <w:tblPr>
        <w:tblStyle w:val="12"/>
        <w:tblpPr w:leftFromText="180" w:rightFromText="180" w:vertAnchor="text" w:horzAnchor="page" w:tblpX="1729" w:tblpY="314"/>
        <w:tblW w:w="8589" w:type="dxa"/>
        <w:tblInd w:w="0" w:type="dxa"/>
        <w:tblLayout w:type="fixed"/>
        <w:tblCellMar>
          <w:top w:w="0" w:type="dxa"/>
          <w:left w:w="0" w:type="dxa"/>
          <w:bottom w:w="0" w:type="dxa"/>
          <w:right w:w="0" w:type="dxa"/>
        </w:tblCellMar>
      </w:tblPr>
      <w:tblGrid>
        <w:gridCol w:w="3579"/>
        <w:gridCol w:w="5010"/>
      </w:tblGrid>
      <w:tr>
        <w:tblPrEx>
          <w:tblLayout w:type="fixed"/>
          <w:tblCellMar>
            <w:top w:w="0" w:type="dxa"/>
            <w:left w:w="0" w:type="dxa"/>
            <w:bottom w:w="0" w:type="dxa"/>
            <w:right w:w="0" w:type="dxa"/>
          </w:tblCellMar>
        </w:tblPrEx>
        <w:trPr>
          <w:trHeight w:val="459" w:hRule="atLeast"/>
        </w:trPr>
        <w:tc>
          <w:tcPr>
            <w:tcW w:w="35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jc w:val="center"/>
              <w:rPr>
                <w:rFonts w:ascii="宋体" w:hAnsi="宋体" w:cs="宋体"/>
                <w:b/>
                <w:bCs/>
                <w:sz w:val="24"/>
              </w:rPr>
            </w:pPr>
            <w:r>
              <w:rPr>
                <w:rFonts w:hint="eastAsia" w:ascii="宋体" w:hAnsi="宋体" w:cs="宋体"/>
                <w:b/>
                <w:bCs/>
                <w:sz w:val="24"/>
              </w:rPr>
              <w:t>项目类型</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120" w:firstLineChars="50"/>
              <w:jc w:val="center"/>
              <w:rPr>
                <w:rFonts w:ascii="宋体" w:hAnsi="宋体" w:cs="宋体"/>
                <w:b/>
                <w:bCs/>
                <w:sz w:val="24"/>
              </w:rPr>
            </w:pPr>
            <w:r>
              <w:rPr>
                <w:rFonts w:hint="eastAsia" w:ascii="宋体" w:hAnsi="宋体" w:cs="宋体"/>
                <w:b/>
                <w:bCs/>
                <w:sz w:val="24"/>
              </w:rPr>
              <w:t>项目内容</w:t>
            </w:r>
          </w:p>
        </w:tc>
      </w:tr>
      <w:tr>
        <w:tblPrEx>
          <w:tblLayout w:type="fixed"/>
          <w:tblCellMar>
            <w:top w:w="0" w:type="dxa"/>
            <w:left w:w="0" w:type="dxa"/>
            <w:bottom w:w="0" w:type="dxa"/>
            <w:right w:w="0" w:type="dxa"/>
          </w:tblCellMar>
        </w:tblPrEx>
        <w:trPr>
          <w:trHeight w:val="459" w:hRule="atLeast"/>
        </w:trPr>
        <w:tc>
          <w:tcPr>
            <w:tcW w:w="3579"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jc w:val="center"/>
              <w:rPr>
                <w:rFonts w:ascii="宋体" w:hAnsi="宋体" w:cs="宋体"/>
                <w:b/>
                <w:bCs/>
                <w:sz w:val="24"/>
              </w:rPr>
            </w:pPr>
            <w:r>
              <w:rPr>
                <w:rFonts w:hint="eastAsia" w:ascii="宋体" w:hAnsi="宋体" w:cs="宋体"/>
                <w:b/>
                <w:bCs/>
                <w:sz w:val="24"/>
              </w:rPr>
              <w:t>招商引资及产业导入合作项目</w:t>
            </w:r>
          </w:p>
          <w:p>
            <w:pPr>
              <w:spacing w:line="360" w:lineRule="auto"/>
              <w:jc w:val="center"/>
              <w:rPr>
                <w:rFonts w:ascii="宋体" w:hAnsi="宋体" w:cs="宋体"/>
                <w:b/>
                <w:bCs/>
                <w:sz w:val="24"/>
              </w:rPr>
            </w:pPr>
            <w:r>
              <w:rPr>
                <w:rFonts w:hint="eastAsia" w:ascii="宋体" w:hAnsi="宋体" w:cs="宋体"/>
                <w:b/>
                <w:bCs/>
                <w:sz w:val="24"/>
              </w:rPr>
              <w:t>（增量分配）</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120" w:firstLineChars="50"/>
              <w:jc w:val="center"/>
              <w:rPr>
                <w:rFonts w:ascii="宋体" w:hAnsi="宋体" w:cs="宋体"/>
                <w:sz w:val="24"/>
              </w:rPr>
            </w:pPr>
            <w:r>
              <w:rPr>
                <w:rFonts w:hint="eastAsia" w:ascii="宋体" w:hAnsi="宋体" w:cs="宋体"/>
                <w:sz w:val="24"/>
              </w:rPr>
              <w:t>招商引资</w:t>
            </w:r>
          </w:p>
        </w:tc>
      </w:tr>
      <w:tr>
        <w:tblPrEx>
          <w:tblLayout w:type="fixed"/>
          <w:tblCellMar>
            <w:top w:w="0" w:type="dxa"/>
            <w:left w:w="0" w:type="dxa"/>
            <w:bottom w:w="0" w:type="dxa"/>
            <w:right w:w="0" w:type="dxa"/>
          </w:tblCellMar>
        </w:tblPrEx>
        <w:trPr>
          <w:trHeight w:val="459" w:hRule="atLeast"/>
        </w:trPr>
        <w:tc>
          <w:tcPr>
            <w:tcW w:w="3579"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120" w:firstLineChars="50"/>
              <w:jc w:val="center"/>
              <w:rPr>
                <w:rFonts w:ascii="宋体" w:hAnsi="宋体" w:cs="宋体"/>
                <w:sz w:val="24"/>
              </w:rPr>
            </w:pPr>
            <w:r>
              <w:rPr>
                <w:rFonts w:hint="eastAsia" w:ascii="宋体" w:hAnsi="宋体" w:cs="宋体"/>
                <w:sz w:val="24"/>
              </w:rPr>
              <w:t>产业导入</w:t>
            </w:r>
          </w:p>
        </w:tc>
      </w:tr>
    </w:tbl>
    <w:p>
      <w:pPr>
        <w:spacing w:line="500" w:lineRule="exact"/>
        <w:ind w:firstLine="480"/>
        <w:rPr>
          <w:rFonts w:ascii="宋体" w:hAnsi="宋体" w:cs="宋体"/>
          <w:sz w:val="28"/>
          <w:szCs w:val="28"/>
        </w:rPr>
      </w:pPr>
      <w:r>
        <w:rPr>
          <w:rFonts w:hint="eastAsia" w:ascii="宋体" w:hAnsi="宋体" w:cs="宋体"/>
          <w:sz w:val="28"/>
          <w:szCs w:val="28"/>
        </w:rPr>
        <w:t>④存量项目运营：是指在合作期内，SPV针对阿尔山已有存量项目开展的运营、推广。其政府付费原则为存量支付，即，政府按照针对该类子项目的运营、推广支出不变的原则，将该部分运营费用支付给乙方。本类项目合作期30年，原则上不超过2046年，双方另有约定的除外。</w:t>
      </w:r>
    </w:p>
    <w:p>
      <w:pPr>
        <w:spacing w:line="500" w:lineRule="exact"/>
        <w:ind w:firstLine="480"/>
        <w:rPr>
          <w:rFonts w:ascii="宋体" w:hAnsi="宋体" w:cs="宋体"/>
          <w:b/>
          <w:bCs/>
          <w:sz w:val="28"/>
          <w:szCs w:val="28"/>
        </w:rPr>
      </w:pPr>
      <w:r>
        <w:rPr>
          <w:rFonts w:hint="eastAsia" w:ascii="宋体" w:hAnsi="宋体" w:cs="宋体"/>
          <w:sz w:val="28"/>
          <w:szCs w:val="28"/>
        </w:rPr>
        <w:t>存量项目运营包括如下基本内容，具体以甲方委托及《子项目建设运营合同》或《子项目委托运营合同》约定为准：</w:t>
      </w:r>
    </w:p>
    <w:tbl>
      <w:tblPr>
        <w:tblStyle w:val="12"/>
        <w:tblpPr w:leftFromText="180" w:rightFromText="180" w:vertAnchor="text" w:horzAnchor="margin" w:tblpXSpec="center" w:tblpY="360"/>
        <w:tblW w:w="8424" w:type="dxa"/>
        <w:tblInd w:w="0" w:type="dxa"/>
        <w:tblLayout w:type="fixed"/>
        <w:tblCellMar>
          <w:top w:w="0" w:type="dxa"/>
          <w:left w:w="0" w:type="dxa"/>
          <w:bottom w:w="0" w:type="dxa"/>
          <w:right w:w="0" w:type="dxa"/>
        </w:tblCellMar>
      </w:tblPr>
      <w:tblGrid>
        <w:gridCol w:w="3594"/>
        <w:gridCol w:w="4830"/>
      </w:tblGrid>
      <w:tr>
        <w:tblPrEx>
          <w:tblLayout w:type="fixed"/>
          <w:tblCellMar>
            <w:top w:w="0" w:type="dxa"/>
            <w:left w:w="0" w:type="dxa"/>
            <w:bottom w:w="0" w:type="dxa"/>
            <w:right w:w="0" w:type="dxa"/>
          </w:tblCellMar>
        </w:tblPrEx>
        <w:trPr>
          <w:trHeight w:val="459" w:hRule="atLeast"/>
        </w:trPr>
        <w:tc>
          <w:tcPr>
            <w:tcW w:w="35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jc w:val="center"/>
              <w:rPr>
                <w:rFonts w:ascii="宋体" w:hAnsi="宋体" w:cs="宋体"/>
                <w:b/>
                <w:bCs/>
                <w:sz w:val="24"/>
              </w:rPr>
            </w:pPr>
            <w:r>
              <w:rPr>
                <w:rFonts w:hint="eastAsia" w:ascii="宋体" w:hAnsi="宋体" w:cs="宋体"/>
                <w:b/>
                <w:bCs/>
                <w:sz w:val="24"/>
              </w:rPr>
              <w:t>项目类型</w:t>
            </w:r>
          </w:p>
        </w:tc>
        <w:tc>
          <w:tcPr>
            <w:tcW w:w="4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120" w:firstLineChars="50"/>
              <w:jc w:val="center"/>
              <w:rPr>
                <w:rFonts w:ascii="宋体" w:hAnsi="宋体" w:cs="宋体"/>
                <w:sz w:val="24"/>
              </w:rPr>
            </w:pPr>
            <w:r>
              <w:rPr>
                <w:rFonts w:hint="eastAsia" w:ascii="宋体" w:hAnsi="宋体" w:cs="宋体"/>
                <w:b/>
                <w:bCs/>
                <w:sz w:val="24"/>
              </w:rPr>
              <w:t>项目内容</w:t>
            </w:r>
          </w:p>
        </w:tc>
      </w:tr>
      <w:tr>
        <w:tblPrEx>
          <w:tblLayout w:type="fixed"/>
          <w:tblCellMar>
            <w:top w:w="0" w:type="dxa"/>
            <w:left w:w="0" w:type="dxa"/>
            <w:bottom w:w="0" w:type="dxa"/>
            <w:right w:w="0" w:type="dxa"/>
          </w:tblCellMar>
        </w:tblPrEx>
        <w:trPr>
          <w:trHeight w:val="459" w:hRule="atLeast"/>
        </w:trPr>
        <w:tc>
          <w:tcPr>
            <w:tcW w:w="3594" w:type="dxa"/>
            <w:vMerge w:val="restart"/>
            <w:tcBorders>
              <w:left w:val="single" w:color="000000" w:sz="4" w:space="0"/>
              <w:right w:val="single" w:color="000000" w:sz="4" w:space="0"/>
            </w:tcBorders>
            <w:shd w:val="clear" w:color="auto" w:fill="FFFFFF" w:themeFill="background1"/>
            <w:tcMar>
              <w:top w:w="15" w:type="dxa"/>
              <w:left w:w="15" w:type="dxa"/>
              <w:bottom w:w="0" w:type="dxa"/>
              <w:right w:w="15" w:type="dxa"/>
            </w:tcMar>
            <w:vAlign w:val="center"/>
          </w:tcPr>
          <w:p>
            <w:pPr>
              <w:spacing w:line="360" w:lineRule="auto"/>
              <w:jc w:val="center"/>
              <w:rPr>
                <w:rFonts w:ascii="宋体" w:hAnsi="宋体" w:cs="宋体"/>
                <w:b/>
                <w:bCs/>
                <w:sz w:val="24"/>
              </w:rPr>
            </w:pPr>
            <w:r>
              <w:rPr>
                <w:rFonts w:hint="eastAsia" w:ascii="宋体" w:hAnsi="宋体" w:cs="宋体"/>
                <w:b/>
                <w:bCs/>
                <w:sz w:val="24"/>
              </w:rPr>
              <w:t>存量项目运营</w:t>
            </w:r>
          </w:p>
          <w:p>
            <w:pPr>
              <w:spacing w:line="360" w:lineRule="auto"/>
              <w:jc w:val="center"/>
              <w:rPr>
                <w:rFonts w:ascii="宋体" w:hAnsi="宋体" w:cs="宋体"/>
                <w:b/>
                <w:bCs/>
                <w:sz w:val="24"/>
              </w:rPr>
            </w:pPr>
            <w:r>
              <w:rPr>
                <w:rFonts w:hint="eastAsia" w:ascii="宋体" w:hAnsi="宋体" w:cs="宋体"/>
                <w:b/>
                <w:bCs/>
                <w:sz w:val="24"/>
              </w:rPr>
              <w:t>（存量支付）</w:t>
            </w:r>
          </w:p>
        </w:tc>
        <w:tc>
          <w:tcPr>
            <w:tcW w:w="4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120" w:firstLineChars="50"/>
              <w:jc w:val="center"/>
              <w:rPr>
                <w:rFonts w:ascii="宋体" w:hAnsi="宋体" w:cs="宋体"/>
                <w:sz w:val="24"/>
              </w:rPr>
            </w:pPr>
            <w:r>
              <w:rPr>
                <w:rFonts w:hint="eastAsia" w:ascii="宋体" w:hAnsi="宋体" w:cs="宋体"/>
                <w:sz w:val="24"/>
              </w:rPr>
              <w:t>滑雪场托管运营</w:t>
            </w:r>
          </w:p>
        </w:tc>
      </w:tr>
      <w:tr>
        <w:tblPrEx>
          <w:tblLayout w:type="fixed"/>
          <w:tblCellMar>
            <w:top w:w="0" w:type="dxa"/>
            <w:left w:w="0" w:type="dxa"/>
            <w:bottom w:w="0" w:type="dxa"/>
            <w:right w:w="0" w:type="dxa"/>
          </w:tblCellMar>
        </w:tblPrEx>
        <w:trPr>
          <w:trHeight w:val="459" w:hRule="atLeast"/>
        </w:trPr>
        <w:tc>
          <w:tcPr>
            <w:tcW w:w="3594"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360" w:lineRule="auto"/>
              <w:ind w:firstLine="480" w:firstLineChars="200"/>
              <w:rPr>
                <w:rFonts w:ascii="宋体" w:hAnsi="宋体" w:cs="宋体"/>
                <w:sz w:val="24"/>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360" w:lineRule="auto"/>
              <w:ind w:firstLine="120" w:firstLineChars="50"/>
              <w:jc w:val="center"/>
              <w:rPr>
                <w:rFonts w:ascii="宋体" w:hAnsi="宋体" w:cs="宋体"/>
                <w:sz w:val="24"/>
              </w:rPr>
            </w:pPr>
            <w:r>
              <w:rPr>
                <w:rFonts w:hint="eastAsia" w:ascii="宋体" w:hAnsi="宋体" w:cs="宋体"/>
                <w:sz w:val="24"/>
              </w:rPr>
              <w:t>乌兰牧骑运营</w:t>
            </w:r>
          </w:p>
        </w:tc>
      </w:tr>
    </w:tbl>
    <w:p>
      <w:pPr>
        <w:pStyle w:val="3"/>
        <w:pageBreakBefore w:val="0"/>
        <w:widowControl w:val="0"/>
        <w:kinsoku/>
        <w:wordWrap/>
        <w:overflowPunct/>
        <w:topLinePunct w:val="0"/>
        <w:bidi w:val="0"/>
        <w:spacing w:before="0" w:after="0" w:line="500" w:lineRule="exact"/>
        <w:ind w:left="0" w:leftChars="0" w:right="0" w:rightChars="0"/>
        <w:textAlignment w:val="auto"/>
        <w:rPr>
          <w:rFonts w:ascii="宋体" w:hAnsi="宋体" w:cs="宋体"/>
          <w:sz w:val="28"/>
          <w:szCs w:val="28"/>
        </w:rPr>
      </w:pPr>
      <w:r>
        <w:rPr>
          <w:rFonts w:hint="eastAsia" w:ascii="宋体" w:hAnsi="宋体" w:eastAsia="宋体" w:cs="宋体"/>
          <w:sz w:val="28"/>
          <w:szCs w:val="28"/>
        </w:rPr>
        <w:t xml:space="preserve">    </w:t>
      </w:r>
      <w:r>
        <w:rPr>
          <w:rFonts w:hint="eastAsia" w:ascii="宋体" w:hAnsi="宋体" w:cs="宋体"/>
          <w:sz w:val="28"/>
          <w:szCs w:val="28"/>
        </w:rPr>
        <w:t>（3）项目融资方案</w:t>
      </w:r>
    </w:p>
    <w:p>
      <w:pPr>
        <w:pStyle w:val="23"/>
        <w:pageBreakBefore w:val="0"/>
        <w:widowControl w:val="0"/>
        <w:kinsoku/>
        <w:wordWrap/>
        <w:overflowPunct/>
        <w:topLinePunct w:val="0"/>
        <w:bidi w:val="0"/>
        <w:snapToGrid w:val="0"/>
        <w:spacing w:line="500" w:lineRule="exact"/>
        <w:ind w:left="0" w:leftChars="0" w:right="0" w:rightChars="0" w:firstLine="560" w:firstLineChars="200"/>
        <w:textAlignment w:val="auto"/>
        <w:rPr>
          <w:rFonts w:ascii="宋体" w:hAnsi="宋体" w:cs="宋体"/>
          <w:b/>
          <w:bCs/>
          <w:color w:val="auto"/>
          <w:sz w:val="28"/>
          <w:szCs w:val="28"/>
        </w:rPr>
      </w:pPr>
      <w:r>
        <w:rPr>
          <w:rFonts w:hint="eastAsia" w:ascii="宋体" w:hAnsi="宋体" w:cs="宋体"/>
          <w:bCs/>
          <w:color w:val="auto"/>
          <w:sz w:val="28"/>
          <w:szCs w:val="28"/>
        </w:rPr>
        <w:t>项目一期总投资计划为11亿元，其中SPV注册资本3,000万自筹，拟通过发行一支3亿元股权投资基金再配套7.7亿元银行贷款实现融资。</w:t>
      </w:r>
    </w:p>
    <w:p>
      <w:pPr>
        <w:pStyle w:val="23"/>
        <w:pageBreakBefore w:val="0"/>
        <w:widowControl w:val="0"/>
        <w:kinsoku/>
        <w:wordWrap/>
        <w:overflowPunct/>
        <w:topLinePunct w:val="0"/>
        <w:bidi w:val="0"/>
        <w:snapToGrid w:val="0"/>
        <w:spacing w:line="500" w:lineRule="exact"/>
        <w:ind w:left="0" w:leftChars="0" w:right="0" w:rightChars="0" w:firstLine="562" w:firstLineChars="200"/>
        <w:jc w:val="both"/>
        <w:textAlignment w:val="auto"/>
        <w:outlineLvl w:val="0"/>
        <w:rPr>
          <w:rFonts w:ascii="宋体" w:hAnsi="宋体" w:cs="宋体"/>
          <w:b/>
          <w:bCs/>
          <w:color w:val="auto"/>
          <w:sz w:val="28"/>
          <w:szCs w:val="28"/>
        </w:rPr>
      </w:pPr>
      <w:r>
        <w:rPr>
          <w:rFonts w:hint="eastAsia" w:ascii="宋体" w:hAnsi="宋体" w:cs="宋体"/>
          <w:b/>
          <w:bCs/>
          <w:color w:val="auto"/>
          <w:sz w:val="28"/>
          <w:szCs w:val="28"/>
        </w:rPr>
        <w:t>1）股权融资</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rPr>
          <w:rFonts w:ascii="宋体" w:hAnsi="宋体" w:cs="宋体"/>
          <w:color w:val="auto"/>
          <w:sz w:val="28"/>
          <w:szCs w:val="28"/>
        </w:rPr>
      </w:pPr>
      <w:bookmarkStart w:id="19" w:name="OLE_LINK9"/>
      <w:r>
        <w:rPr>
          <w:rFonts w:hint="eastAsia" w:ascii="宋体" w:hAnsi="宋体" w:cs="宋体"/>
          <w:color w:val="auto"/>
          <w:sz w:val="28"/>
          <w:szCs w:val="28"/>
        </w:rPr>
        <w:t>发行“阿尔山PPP项目生态产业基金”（暂定名，以下简称“基金”），总规模3亿元，其中：优先级LP份额80%即2.4亿元，通过银行以理财资金对接专项资产管理计划方式认购优先级LP份额，收益率8%-10%（拟设定固定收益）；劣后级LP份额20%即0.6亿元。</w:t>
      </w:r>
      <w:bookmarkEnd w:id="19"/>
      <w:r>
        <w:rPr>
          <w:rFonts w:hint="eastAsia" w:ascii="宋体" w:hAnsi="宋体" w:cs="宋体"/>
          <w:color w:val="auto"/>
          <w:sz w:val="28"/>
          <w:szCs w:val="28"/>
        </w:rPr>
        <w:t>基金期限7+3年，以股权形式向SPV增资，由SPV按协议每季支付基金优先级LP收益，第84个月开始分四次购买基金优先级LP份额。</w:t>
      </w:r>
    </w:p>
    <w:p>
      <w:pPr>
        <w:pStyle w:val="23"/>
        <w:pageBreakBefore w:val="0"/>
        <w:widowControl w:val="0"/>
        <w:kinsoku/>
        <w:wordWrap/>
        <w:overflowPunct/>
        <w:topLinePunct w:val="0"/>
        <w:bidi w:val="0"/>
        <w:snapToGrid w:val="0"/>
        <w:spacing w:line="500" w:lineRule="exact"/>
        <w:ind w:left="0" w:leftChars="0" w:right="0" w:rightChars="0" w:firstLine="560" w:firstLineChars="200"/>
        <w:textAlignment w:val="auto"/>
        <w:outlineLvl w:val="0"/>
        <w:rPr>
          <w:rFonts w:ascii="宋体" w:hAnsi="宋体" w:cs="宋体"/>
          <w:color w:val="auto"/>
          <w:sz w:val="28"/>
          <w:szCs w:val="28"/>
        </w:rPr>
      </w:pPr>
      <w:r>
        <w:rPr>
          <w:rFonts w:hint="eastAsia" w:ascii="宋体" w:hAnsi="宋体" w:cs="宋体"/>
          <w:color w:val="auto"/>
          <w:sz w:val="28"/>
          <w:szCs w:val="28"/>
        </w:rPr>
        <w:t>资金用途：基金以股权形式向项目公司增资，用于阿尔山城市内口岸类项目、十个全覆盖类项目及全域旅游开发等项目。</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outlineLvl w:val="0"/>
        <w:rPr>
          <w:rFonts w:ascii="宋体" w:hAnsi="宋体" w:cs="宋体"/>
          <w:color w:val="auto"/>
          <w:sz w:val="28"/>
          <w:szCs w:val="28"/>
        </w:rPr>
      </w:pPr>
      <w:r>
        <w:rPr>
          <w:rFonts w:hint="eastAsia" w:ascii="宋体" w:hAnsi="宋体" w:cs="宋体"/>
          <w:color w:val="auto"/>
          <w:sz w:val="28"/>
          <w:szCs w:val="28"/>
        </w:rPr>
        <w:t>退出方式：由SPV按协议每季支付基金优先级LP收益，拟在基金成立后的第84个月、第96个月、第108个月、120个月分别购买基金优先级LP份额的25%。</w:t>
      </w:r>
    </w:p>
    <w:p>
      <w:pPr>
        <w:pStyle w:val="23"/>
        <w:pageBreakBefore w:val="0"/>
        <w:widowControl w:val="0"/>
        <w:kinsoku/>
        <w:wordWrap/>
        <w:overflowPunct/>
        <w:topLinePunct w:val="0"/>
        <w:bidi w:val="0"/>
        <w:snapToGrid w:val="0"/>
        <w:spacing w:line="500" w:lineRule="exact"/>
        <w:ind w:left="0" w:leftChars="0" w:right="0" w:rightChars="0" w:firstLine="562" w:firstLineChars="200"/>
        <w:jc w:val="both"/>
        <w:textAlignment w:val="auto"/>
        <w:outlineLvl w:val="0"/>
        <w:rPr>
          <w:rFonts w:ascii="宋体" w:hAnsi="宋体" w:cs="宋体"/>
          <w:b/>
          <w:bCs/>
          <w:color w:val="auto"/>
          <w:sz w:val="28"/>
          <w:szCs w:val="28"/>
        </w:rPr>
      </w:pPr>
      <w:r>
        <w:rPr>
          <w:rFonts w:hint="eastAsia" w:ascii="宋体" w:hAnsi="宋体" w:cs="宋体"/>
          <w:b/>
          <w:bCs/>
          <w:color w:val="auto"/>
          <w:sz w:val="28"/>
          <w:szCs w:val="28"/>
        </w:rPr>
        <w:t>2）债权融资</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向银行申请项目开发贷款7.7亿元，利率按同期贷款利率上浮一定比例，期限初拟10年，收费权质押+政府PPP信用担保。</w:t>
      </w:r>
    </w:p>
    <w:p>
      <w:pPr>
        <w:pStyle w:val="23"/>
        <w:pageBreakBefore w:val="0"/>
        <w:widowControl w:val="0"/>
        <w:kinsoku/>
        <w:wordWrap/>
        <w:overflowPunct/>
        <w:topLinePunct w:val="0"/>
        <w:bidi w:val="0"/>
        <w:snapToGrid w:val="0"/>
        <w:spacing w:line="500" w:lineRule="exact"/>
        <w:ind w:left="0" w:leftChars="0" w:right="0" w:rightChars="0" w:firstLine="562" w:firstLineChars="200"/>
        <w:jc w:val="both"/>
        <w:textAlignment w:val="auto"/>
        <w:outlineLvl w:val="0"/>
        <w:rPr>
          <w:rFonts w:ascii="宋体" w:hAnsi="宋体" w:cs="宋体"/>
          <w:b/>
          <w:bCs/>
          <w:color w:val="auto"/>
          <w:sz w:val="28"/>
          <w:szCs w:val="28"/>
        </w:rPr>
      </w:pPr>
      <w:r>
        <w:rPr>
          <w:rFonts w:hint="eastAsia" w:ascii="宋体" w:hAnsi="宋体" w:cs="宋体"/>
          <w:b/>
          <w:bCs/>
          <w:color w:val="auto"/>
          <w:sz w:val="28"/>
          <w:szCs w:val="28"/>
        </w:rPr>
        <w:t xml:space="preserve"> 3）保障措施</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a、项目由阿尔山市政府授予SPV特许经营权，SPV负责本项目运营、维护及更新，政府承担每年运营补贴支出约9,000万元，需阿尔山市财政部门将补贴支出纳入同级政府财政的中长期预算管理；</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outlineLvl w:val="0"/>
        <w:rPr>
          <w:rFonts w:ascii="宋体" w:hAnsi="宋体" w:cs="宋体"/>
          <w:color w:val="auto"/>
          <w:sz w:val="28"/>
          <w:szCs w:val="28"/>
        </w:rPr>
      </w:pPr>
      <w:r>
        <w:rPr>
          <w:rFonts w:hint="eastAsia" w:ascii="宋体" w:hAnsi="宋体" w:cs="宋体"/>
          <w:color w:val="auto"/>
          <w:sz w:val="28"/>
          <w:szCs w:val="28"/>
        </w:rPr>
        <w:t>b、政府提供专项资金；</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c、项目范围内土地出让收益地方政府留成部分增量的一定比例；</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d、项目范围内税费收益地方政府留成部分增量的不少于一定比例；</w:t>
      </w:r>
    </w:p>
    <w:p>
      <w:pPr>
        <w:pStyle w:val="23"/>
        <w:pageBreakBefore w:val="0"/>
        <w:widowControl w:val="0"/>
        <w:kinsoku/>
        <w:wordWrap/>
        <w:overflowPunct/>
        <w:topLinePunct w:val="0"/>
        <w:bidi w:val="0"/>
        <w:snapToGrid w:val="0"/>
        <w:spacing w:line="500" w:lineRule="exact"/>
        <w:ind w:left="0" w:leftChars="0" w:right="0" w:rightChars="0"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e、地理标识品牌，口岸30年特许经营权收益。</w:t>
      </w:r>
    </w:p>
    <w:p>
      <w:pPr>
        <w:pageBreakBefore w:val="0"/>
        <w:widowControl w:val="0"/>
        <w:kinsoku/>
        <w:wordWrap/>
        <w:overflowPunct/>
        <w:topLinePunct w:val="0"/>
        <w:bidi w:val="0"/>
        <w:snapToGrid w:val="0"/>
        <w:spacing w:line="50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（4）公司为该项目的筹资计划以及公司是否具有履约能力：</w:t>
      </w:r>
    </w:p>
    <w:p>
      <w:pPr>
        <w:pageBreakBefore w:val="0"/>
        <w:widowControl w:val="0"/>
        <w:kinsoku/>
        <w:wordWrap/>
        <w:overflowPunct/>
        <w:topLinePunct w:val="0"/>
        <w:bidi w:val="0"/>
        <w:snapToGrid w:val="0"/>
        <w:spacing w:line="500" w:lineRule="exact"/>
        <w:ind w:left="0" w:leftChars="0" w:right="0" w:rightChars="0" w:firstLine="560" w:firstLineChars="200"/>
        <w:textAlignment w:val="auto"/>
        <w:rPr>
          <w:rFonts w:ascii="宋体" w:hAnsi="宋体" w:cs="宋体"/>
          <w:bCs/>
          <w:sz w:val="28"/>
          <w:szCs w:val="28"/>
        </w:rPr>
      </w:pPr>
      <w:r>
        <w:rPr>
          <w:rFonts w:hint="eastAsia" w:ascii="宋体" w:hAnsi="宋体" w:cs="宋体"/>
          <w:bCs/>
          <w:sz w:val="28"/>
          <w:szCs w:val="28"/>
        </w:rPr>
        <w:t>初步约定公司在产业投资基金融资中出资3,000万作为劣后级资金，公司在项目公司资本金中出资900万元，公司总计投入3,900万元，公司具有履约能力。</w:t>
      </w:r>
    </w:p>
    <w:p>
      <w:pPr>
        <w:pageBreakBefore w:val="0"/>
        <w:widowControl w:val="0"/>
        <w:kinsoku/>
        <w:wordWrap/>
        <w:overflowPunct/>
        <w:topLinePunct w:val="0"/>
        <w:bidi w:val="0"/>
        <w:snapToGrid w:val="0"/>
        <w:spacing w:line="500" w:lineRule="exact"/>
        <w:ind w:left="0" w:leftChars="0" w:right="0" w:rightChars="0" w:firstLine="562" w:firstLineChars="200"/>
        <w:textAlignment w:val="auto"/>
        <w:rPr>
          <w:rFonts w:ascii="宋体" w:hAnsi="宋体" w:cs="宋体"/>
          <w:b/>
          <w:bCs/>
          <w:sz w:val="28"/>
          <w:szCs w:val="28"/>
        </w:rPr>
      </w:pPr>
      <w:bookmarkStart w:id="20" w:name="OLE_LINK37"/>
      <w:r>
        <w:rPr>
          <w:rFonts w:hint="eastAsia" w:ascii="宋体" w:hAnsi="宋体" w:cs="宋体"/>
          <w:b/>
          <w:bCs/>
          <w:sz w:val="28"/>
          <w:szCs w:val="28"/>
        </w:rPr>
        <w:t>1）融资方案结构设计</w:t>
      </w:r>
    </w:p>
    <w:bookmarkEnd w:id="20"/>
    <w:p>
      <w:pPr>
        <w:pageBreakBefore w:val="0"/>
        <w:widowControl w:val="0"/>
        <w:kinsoku/>
        <w:wordWrap/>
        <w:overflowPunct/>
        <w:topLinePunct w:val="0"/>
        <w:bidi w:val="0"/>
        <w:snapToGrid w:val="0"/>
        <w:spacing w:line="500" w:lineRule="exact"/>
        <w:ind w:left="0" w:leftChars="0" w:right="0" w:rightChars="0" w:firstLine="560" w:firstLineChars="200"/>
        <w:textAlignment w:val="auto"/>
        <w:rPr>
          <w:rFonts w:ascii="宋体" w:hAnsi="宋体" w:cs="宋体"/>
          <w:bCs/>
          <w:sz w:val="28"/>
          <w:szCs w:val="28"/>
        </w:rPr>
      </w:pPr>
      <w:r>
        <w:rPr>
          <w:rFonts w:hint="eastAsia" w:ascii="宋体" w:hAnsi="宋体" w:cs="宋体"/>
          <w:bCs/>
          <w:sz w:val="28"/>
          <w:szCs w:val="28"/>
        </w:rPr>
        <w:t>本项目总投入资金概算为</w:t>
      </w:r>
      <w:r>
        <w:rPr>
          <w:rFonts w:hint="eastAsia" w:ascii="宋体" w:hAnsi="宋体" w:cs="宋体"/>
          <w:sz w:val="28"/>
          <w:szCs w:val="28"/>
        </w:rPr>
        <w:t>305,257.99万元</w:t>
      </w:r>
      <w:r>
        <w:rPr>
          <w:rFonts w:hint="eastAsia" w:ascii="宋体" w:hAnsi="宋体" w:cs="宋体"/>
          <w:bCs/>
          <w:sz w:val="28"/>
          <w:szCs w:val="28"/>
        </w:rPr>
        <w:t>人民币，根据项目实际进展，预计2016启动的项目，其投资概算为55638.4万元人民币，其中25%作为项目资本金由社会资本自筹，其余75%由项目公司通过融资方式取得。</w:t>
      </w:r>
    </w:p>
    <w:p>
      <w:pPr>
        <w:pageBreakBefore w:val="0"/>
        <w:kinsoku/>
        <w:wordWrap/>
        <w:overflowPunct/>
        <w:topLinePunct w:val="0"/>
        <w:bidi w:val="0"/>
        <w:snapToGrid w:val="0"/>
        <w:spacing w:line="54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2）项目公司股权结构</w:t>
      </w:r>
    </w:p>
    <w:p>
      <w:pPr>
        <w:pageBreakBefore w:val="0"/>
        <w:kinsoku/>
        <w:wordWrap/>
        <w:overflowPunct/>
        <w:topLinePunct w:val="0"/>
        <w:bidi w:val="0"/>
        <w:snapToGrid w:val="0"/>
        <w:spacing w:line="540" w:lineRule="exact"/>
        <w:ind w:left="0" w:leftChars="0" w:right="0" w:rightChars="0" w:firstLine="560" w:firstLineChars="200"/>
        <w:textAlignment w:val="auto"/>
        <w:rPr>
          <w:rFonts w:ascii="宋体" w:hAnsi="宋体" w:cs="宋体"/>
          <w:bCs/>
          <w:sz w:val="28"/>
          <w:szCs w:val="28"/>
        </w:rPr>
      </w:pPr>
      <w:r>
        <w:rPr>
          <w:rFonts w:hint="eastAsia" w:ascii="宋体" w:hAnsi="宋体" w:cs="宋体"/>
          <w:bCs/>
          <w:sz w:val="28"/>
          <w:szCs w:val="28"/>
        </w:rPr>
        <w:t>项目资本由25%注册资本金及75%银行贷款构成。注册资本金由政府资本与社会投资人按照30%：70%的比例出资。</w:t>
      </w:r>
    </w:p>
    <w:p>
      <w:pPr>
        <w:pStyle w:val="24"/>
        <w:pageBreakBefore w:val="0"/>
        <w:kinsoku/>
        <w:wordWrap/>
        <w:overflowPunct/>
        <w:topLinePunct w:val="0"/>
        <w:bidi w:val="0"/>
        <w:spacing w:line="540" w:lineRule="exact"/>
        <w:ind w:left="0" w:leftChars="0" w:right="0" w:rightChars="0" w:firstLine="562"/>
        <w:textAlignment w:val="auto"/>
        <w:rPr>
          <w:rFonts w:ascii="宋体" w:hAnsi="宋体" w:cs="宋体"/>
          <w:b/>
          <w:bCs/>
          <w:sz w:val="28"/>
          <w:szCs w:val="28"/>
        </w:rPr>
      </w:pPr>
      <w:r>
        <w:rPr>
          <w:rFonts w:hint="eastAsia" w:ascii="宋体" w:hAnsi="宋体" w:cs="宋体"/>
          <w:b/>
          <w:bCs/>
          <w:kern w:val="0"/>
          <w:sz w:val="28"/>
          <w:szCs w:val="28"/>
        </w:rPr>
        <w:t>4、你</w:t>
      </w:r>
      <w:r>
        <w:rPr>
          <w:rFonts w:hint="eastAsia" w:ascii="宋体" w:hAnsi="宋体" w:cs="宋体"/>
          <w:b/>
          <w:bCs/>
          <w:sz w:val="28"/>
          <w:szCs w:val="28"/>
        </w:rPr>
        <w:t>公司在中标公告披露，该合同建设运营周期为30年，将对公司2016年度的经营业绩产生积极的影响。请你公司说明：</w:t>
      </w:r>
    </w:p>
    <w:p>
      <w:pPr>
        <w:pStyle w:val="24"/>
        <w:pageBreakBefore w:val="0"/>
        <w:kinsoku/>
        <w:wordWrap/>
        <w:overflowPunct/>
        <w:topLinePunct w:val="0"/>
        <w:bidi w:val="0"/>
        <w:spacing w:line="540" w:lineRule="exact"/>
        <w:ind w:left="0" w:leftChars="0" w:right="0" w:rightChars="0" w:firstLine="562"/>
        <w:textAlignment w:val="auto"/>
        <w:rPr>
          <w:rFonts w:ascii="宋体" w:hAnsi="宋体" w:cs="宋体"/>
          <w:b/>
          <w:bCs/>
          <w:sz w:val="28"/>
          <w:szCs w:val="28"/>
        </w:rPr>
      </w:pPr>
      <w:r>
        <w:rPr>
          <w:rFonts w:hint="eastAsia" w:ascii="宋体" w:hAnsi="宋体" w:cs="宋体"/>
          <w:b/>
          <w:bCs/>
          <w:sz w:val="28"/>
          <w:szCs w:val="28"/>
        </w:rPr>
        <w:t>（1）你公司与中标联合体之间的合作模式，收入分成，出资比例，权责划分等事项安排；</w:t>
      </w:r>
    </w:p>
    <w:p>
      <w:pPr>
        <w:pStyle w:val="24"/>
        <w:pageBreakBefore w:val="0"/>
        <w:kinsoku/>
        <w:wordWrap/>
        <w:overflowPunct/>
        <w:topLinePunct w:val="0"/>
        <w:bidi w:val="0"/>
        <w:spacing w:line="540" w:lineRule="exact"/>
        <w:ind w:left="0" w:leftChars="0" w:right="0" w:rightChars="0" w:firstLine="562"/>
        <w:textAlignment w:val="auto"/>
        <w:rPr>
          <w:rFonts w:ascii="宋体" w:hAnsi="宋体" w:cs="宋体"/>
          <w:b/>
          <w:bCs/>
          <w:sz w:val="28"/>
          <w:szCs w:val="28"/>
        </w:rPr>
      </w:pPr>
      <w:r>
        <w:rPr>
          <w:rFonts w:hint="eastAsia" w:ascii="宋体" w:hAnsi="宋体" w:cs="宋体"/>
          <w:b/>
          <w:bCs/>
          <w:sz w:val="28"/>
          <w:szCs w:val="28"/>
        </w:rPr>
        <w:t>（2）提供你公司与中标联合体之间的合作协议，相关合同以及签署时间；</w:t>
      </w:r>
    </w:p>
    <w:p>
      <w:pPr>
        <w:pStyle w:val="24"/>
        <w:pageBreakBefore w:val="0"/>
        <w:kinsoku/>
        <w:wordWrap/>
        <w:overflowPunct/>
        <w:topLinePunct w:val="0"/>
        <w:bidi w:val="0"/>
        <w:spacing w:line="540" w:lineRule="exact"/>
        <w:ind w:left="0" w:leftChars="0" w:right="0" w:rightChars="0" w:firstLine="562"/>
        <w:textAlignment w:val="auto"/>
        <w:rPr>
          <w:rFonts w:ascii="宋体" w:hAnsi="宋体" w:cs="宋体"/>
          <w:b/>
          <w:bCs/>
          <w:sz w:val="28"/>
          <w:szCs w:val="28"/>
        </w:rPr>
      </w:pPr>
      <w:r>
        <w:rPr>
          <w:rFonts w:hint="eastAsia" w:ascii="宋体" w:hAnsi="宋体" w:cs="宋体"/>
          <w:b/>
          <w:bCs/>
          <w:sz w:val="28"/>
          <w:szCs w:val="28"/>
        </w:rPr>
        <w:t>（3）根据中标合同和项目实施计划说明该项目对2016年以及其后年度业绩的影响。</w:t>
      </w:r>
    </w:p>
    <w:p>
      <w:pPr>
        <w:pStyle w:val="19"/>
        <w:pageBreakBefore w:val="0"/>
        <w:kinsoku/>
        <w:wordWrap/>
        <w:overflowPunct/>
        <w:topLinePunct w:val="0"/>
        <w:bidi w:val="0"/>
        <w:spacing w:line="540" w:lineRule="exact"/>
        <w:ind w:left="0" w:leftChars="0" w:right="0" w:rightChars="0" w:firstLine="562"/>
        <w:textAlignment w:val="auto"/>
        <w:rPr>
          <w:rFonts w:ascii="宋体" w:hAnsi="宋体" w:cs="宋体"/>
          <w:b/>
          <w:bCs/>
          <w:kern w:val="0"/>
          <w:sz w:val="28"/>
          <w:szCs w:val="28"/>
        </w:rPr>
      </w:pPr>
      <w:r>
        <w:rPr>
          <w:rFonts w:hint="eastAsia" w:ascii="宋体" w:hAnsi="宋体" w:cs="宋体"/>
          <w:b/>
          <w:bCs/>
          <w:kern w:val="0"/>
          <w:sz w:val="28"/>
          <w:szCs w:val="28"/>
        </w:rPr>
        <w:t>回复：</w:t>
      </w:r>
    </w:p>
    <w:p>
      <w:pPr>
        <w:pStyle w:val="19"/>
        <w:pageBreakBefore w:val="0"/>
        <w:kinsoku/>
        <w:wordWrap/>
        <w:overflowPunct/>
        <w:topLinePunct w:val="0"/>
        <w:bidi w:val="0"/>
        <w:spacing w:line="540" w:lineRule="exact"/>
        <w:ind w:left="0" w:leftChars="0" w:right="0" w:rightChars="0" w:firstLine="562"/>
        <w:textAlignment w:val="auto"/>
        <w:rPr>
          <w:rFonts w:ascii="宋体" w:hAnsi="宋体" w:cs="宋体"/>
          <w:b/>
          <w:bCs/>
          <w:sz w:val="28"/>
          <w:szCs w:val="28"/>
        </w:rPr>
      </w:pPr>
      <w:r>
        <w:rPr>
          <w:rFonts w:hint="eastAsia" w:ascii="宋体" w:hAnsi="宋体" w:cs="宋体"/>
          <w:b/>
          <w:bCs/>
          <w:sz w:val="28"/>
          <w:szCs w:val="28"/>
        </w:rPr>
        <w:t>（1）你公司与中标联合体之间的合作模式，收入分成，出资比例，</w:t>
      </w:r>
      <w:bookmarkStart w:id="21" w:name="OLE_LINK13"/>
      <w:r>
        <w:rPr>
          <w:rFonts w:hint="eastAsia" w:ascii="宋体" w:hAnsi="宋体" w:cs="宋体"/>
          <w:b/>
          <w:bCs/>
          <w:sz w:val="28"/>
          <w:szCs w:val="28"/>
        </w:rPr>
        <w:t>权责划分</w:t>
      </w:r>
      <w:bookmarkEnd w:id="21"/>
      <w:r>
        <w:rPr>
          <w:rFonts w:hint="eastAsia" w:ascii="宋体" w:hAnsi="宋体" w:cs="宋体"/>
          <w:b/>
          <w:bCs/>
          <w:sz w:val="28"/>
          <w:szCs w:val="28"/>
        </w:rPr>
        <w:t>等事项安排；</w:t>
      </w:r>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sz w:val="28"/>
          <w:szCs w:val="28"/>
        </w:rPr>
      </w:pPr>
      <w:r>
        <w:rPr>
          <w:rFonts w:hint="eastAsia" w:ascii="宋体" w:hAnsi="宋体" w:cs="宋体"/>
          <w:b/>
          <w:bCs/>
          <w:sz w:val="28"/>
          <w:szCs w:val="28"/>
        </w:rPr>
        <w:t>1）合作模式：</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bookmarkStart w:id="22" w:name="OLE_LINK14"/>
      <w:r>
        <w:rPr>
          <w:rFonts w:hint="eastAsia" w:ascii="宋体" w:hAnsi="宋体" w:cs="宋体"/>
          <w:sz w:val="28"/>
          <w:szCs w:val="28"/>
        </w:rPr>
        <w:t>根据阿尔山生态县域经济PPP项目发展路径安排，未来各子项目实际操作过程中，在具备项目建设的相应资质的前提下，</w:t>
      </w:r>
      <w:bookmarkStart w:id="23" w:name="OLE_LINK16"/>
      <w:r>
        <w:rPr>
          <w:rFonts w:hint="eastAsia" w:ascii="宋体" w:hAnsi="宋体" w:cs="宋体"/>
          <w:sz w:val="28"/>
          <w:szCs w:val="28"/>
        </w:rPr>
        <w:t>蒙草主要负责统筹生态修复、景观绿化等生态环保类工程子项目；</w:t>
      </w:r>
      <w:bookmarkEnd w:id="23"/>
      <w:r>
        <w:rPr>
          <w:rFonts w:hint="eastAsia" w:ascii="宋体" w:hAnsi="宋体" w:cs="宋体"/>
          <w:sz w:val="28"/>
          <w:szCs w:val="28"/>
        </w:rPr>
        <w:t>中建基础主要负责非生态环保类子项目的工程建设；北方中郡主要负责统筹各子项目的实际运营管理；除另有约定外，各方各取利润，互不干涉。若蒙草及中建基础均不具备子项目建设的相关资质，项目公司将严格按照法律法规的要求通过公开招投标等合法的采购方式确定其他的服务供应商。“睦邻口岸”代表政府出资，行使股东权利、履行股东义务并承担股东责任，充分发挥社会资本各方优势，统筹项目设计、建设、运营管理等。</w:t>
      </w:r>
    </w:p>
    <w:bookmarkEnd w:id="22"/>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三方社会资本股东接受政府部门的行业监管，服从社会公共利益，履行对社会公益性事业所应尽的义务和服务。</w:t>
      </w:r>
    </w:p>
    <w:p>
      <w:pPr>
        <w:pStyle w:val="23"/>
        <w:pageBreakBefore w:val="0"/>
        <w:kinsoku/>
        <w:wordWrap/>
        <w:overflowPunct/>
        <w:topLinePunct w:val="0"/>
        <w:bidi w:val="0"/>
        <w:snapToGrid w:val="0"/>
        <w:spacing w:line="540" w:lineRule="exact"/>
        <w:ind w:left="0" w:leftChars="0" w:right="0" w:rightChars="0" w:firstLine="562" w:firstLineChars="200"/>
        <w:jc w:val="both"/>
        <w:textAlignment w:val="auto"/>
        <w:rPr>
          <w:rFonts w:ascii="宋体" w:hAnsi="宋体" w:cs="宋体"/>
          <w:b/>
          <w:bCs/>
          <w:color w:val="auto"/>
          <w:sz w:val="28"/>
          <w:szCs w:val="28"/>
        </w:rPr>
      </w:pPr>
      <w:r>
        <w:rPr>
          <w:rFonts w:hint="eastAsia" w:ascii="宋体" w:hAnsi="宋体" w:cs="宋体"/>
          <w:b/>
          <w:bCs/>
          <w:color w:val="auto"/>
          <w:sz w:val="28"/>
          <w:szCs w:val="28"/>
        </w:rPr>
        <w:t>2）收入分成：</w:t>
      </w:r>
    </w:p>
    <w:p>
      <w:pPr>
        <w:pStyle w:val="5"/>
        <w:pageBreakBefore w:val="0"/>
        <w:kinsoku/>
        <w:wordWrap/>
        <w:overflowPunct/>
        <w:topLinePunct w:val="0"/>
        <w:bidi w:val="0"/>
        <w:spacing w:line="540" w:lineRule="exact"/>
        <w:ind w:left="0" w:leftChars="0" w:right="0" w:rightChars="0" w:firstLine="560" w:firstLineChars="200"/>
        <w:jc w:val="both"/>
        <w:textAlignment w:val="auto"/>
        <w:rPr>
          <w:rFonts w:ascii="宋体" w:hAnsi="宋体" w:cs="宋体"/>
          <w:sz w:val="28"/>
          <w:szCs w:val="28"/>
        </w:rPr>
      </w:pPr>
      <w:r>
        <w:rPr>
          <w:rFonts w:hint="eastAsia" w:ascii="宋体" w:hAnsi="宋体" w:cs="宋体"/>
          <w:sz w:val="28"/>
          <w:szCs w:val="28"/>
        </w:rPr>
        <w:t>项目公司在收取政府支付、可行性缺口补贴，增量奖励，存量支付等各类费用后，须优先偿还银行贷款本金和利息。</w:t>
      </w:r>
    </w:p>
    <w:p>
      <w:pPr>
        <w:pStyle w:val="5"/>
        <w:pageBreakBefore w:val="0"/>
        <w:kinsoku/>
        <w:wordWrap/>
        <w:overflowPunct/>
        <w:topLinePunct w:val="0"/>
        <w:bidi w:val="0"/>
        <w:spacing w:line="540" w:lineRule="exact"/>
        <w:ind w:left="0" w:leftChars="0" w:right="0" w:rightChars="0" w:firstLine="560" w:firstLineChars="200"/>
        <w:jc w:val="both"/>
        <w:textAlignment w:val="auto"/>
        <w:rPr>
          <w:rFonts w:ascii="宋体" w:hAnsi="宋体" w:cs="宋体"/>
          <w:sz w:val="28"/>
          <w:szCs w:val="28"/>
        </w:rPr>
      </w:pPr>
      <w:r>
        <w:rPr>
          <w:rFonts w:hint="eastAsia" w:ascii="宋体" w:hAnsi="宋体" w:cs="宋体"/>
          <w:sz w:val="28"/>
          <w:szCs w:val="28"/>
        </w:rPr>
        <w:t>在项目公司根据适用法律缴纳税款、弥补亏损、提取盈余公积金（如有税后利润），并满足PPP协议关于维护和更新资金安排有关要求的情况下，除非股东会另有决议，各方可根据各自的出资比例分配税后利润。</w:t>
      </w:r>
    </w:p>
    <w:p>
      <w:pPr>
        <w:pStyle w:val="5"/>
        <w:pageBreakBefore w:val="0"/>
        <w:kinsoku/>
        <w:wordWrap/>
        <w:overflowPunct/>
        <w:topLinePunct w:val="0"/>
        <w:bidi w:val="0"/>
        <w:spacing w:line="540" w:lineRule="exact"/>
        <w:ind w:left="0" w:leftChars="0" w:right="0" w:rightChars="0" w:firstLine="560" w:firstLineChars="200"/>
        <w:jc w:val="both"/>
        <w:textAlignment w:val="auto"/>
        <w:rPr>
          <w:rFonts w:ascii="宋体" w:hAnsi="宋体" w:cs="宋体"/>
          <w:sz w:val="28"/>
          <w:szCs w:val="28"/>
        </w:rPr>
      </w:pPr>
      <w:r>
        <w:rPr>
          <w:rFonts w:hint="eastAsia" w:ascii="宋体" w:hAnsi="宋体" w:cs="宋体"/>
          <w:sz w:val="28"/>
          <w:szCs w:val="28"/>
        </w:rPr>
        <w:t>如项目公司发生亏损，则财务总监必须协助总经理编制亏损分析报告，详细描述亏损的原因、亏损额和制定补救方案，经董事会报股东会批准。各方在此同意，在合作期限内，除本协议及PPP协议另有约定，股东各方应以各自出资额为限对项目公司的债务承担责任。</w:t>
      </w:r>
    </w:p>
    <w:p>
      <w:pPr>
        <w:pStyle w:val="23"/>
        <w:pageBreakBefore w:val="0"/>
        <w:kinsoku/>
        <w:wordWrap/>
        <w:overflowPunct/>
        <w:topLinePunct w:val="0"/>
        <w:bidi w:val="0"/>
        <w:snapToGrid w:val="0"/>
        <w:spacing w:line="540" w:lineRule="exact"/>
        <w:ind w:left="0" w:leftChars="0" w:right="0" w:rightChars="0" w:firstLine="562" w:firstLineChars="200"/>
        <w:jc w:val="both"/>
        <w:textAlignment w:val="auto"/>
        <w:rPr>
          <w:rFonts w:ascii="宋体" w:hAnsi="宋体" w:cs="宋体"/>
          <w:b/>
          <w:bCs/>
          <w:color w:val="auto"/>
          <w:sz w:val="28"/>
          <w:szCs w:val="28"/>
        </w:rPr>
      </w:pPr>
      <w:r>
        <w:rPr>
          <w:rFonts w:hint="eastAsia" w:ascii="宋体" w:hAnsi="宋体" w:cs="宋体"/>
          <w:b/>
          <w:bCs/>
          <w:color w:val="auto"/>
          <w:sz w:val="28"/>
          <w:szCs w:val="28"/>
        </w:rPr>
        <w:t>3）出资比例：</w:t>
      </w:r>
    </w:p>
    <w:p>
      <w:pPr>
        <w:pStyle w:val="23"/>
        <w:pageBreakBefore w:val="0"/>
        <w:kinsoku/>
        <w:wordWrap/>
        <w:overflowPunct/>
        <w:topLinePunct w:val="0"/>
        <w:bidi w:val="0"/>
        <w:snapToGrid w:val="0"/>
        <w:spacing w:line="540" w:lineRule="exact"/>
        <w:ind w:left="0" w:leftChars="0" w:right="0" w:rightChars="0" w:firstLine="560" w:firstLineChars="200"/>
        <w:jc w:val="both"/>
        <w:textAlignment w:val="auto"/>
        <w:rPr>
          <w:rFonts w:ascii="宋体" w:hAnsi="宋体" w:cs="宋体"/>
          <w:color w:val="auto"/>
          <w:sz w:val="28"/>
          <w:szCs w:val="28"/>
        </w:rPr>
      </w:pPr>
      <w:r>
        <w:rPr>
          <w:rFonts w:hint="eastAsia" w:ascii="宋体" w:hAnsi="宋体" w:cs="宋体"/>
          <w:color w:val="auto"/>
          <w:sz w:val="28"/>
          <w:szCs w:val="28"/>
        </w:rPr>
        <w:t>项目公司注册资金3，000万元，其中政府出资900万元，占股30%；内蒙古蒙草生态环境（集团）股份有限公司出资900万元，占股30%；中建基础设施交通设计建设有限公司出资900万元，占股30%；北方中郡投资（北京）有限公司出资300万元，占股10%。</w:t>
      </w:r>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b/>
          <w:bCs/>
          <w:kern w:val="0"/>
          <w:sz w:val="28"/>
          <w:szCs w:val="28"/>
        </w:rPr>
      </w:pPr>
      <w:r>
        <w:rPr>
          <w:rFonts w:hint="eastAsia" w:ascii="宋体" w:hAnsi="宋体" w:cs="宋体"/>
          <w:b/>
          <w:bCs/>
          <w:sz w:val="28"/>
          <w:szCs w:val="28"/>
        </w:rPr>
        <w:t>4）权责划分</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根据阿尔山生态县域经济PPP项目发展路径安排，未来各子项目实际操作过程中，在具备项目建设的相应资质的前提下，蒙草主要负责统筹生态修复、景观绿化等生态环保类工程子项目；中建基础主要负责非生态环保类子项目的工程建设；北方中郡主要负责统筹各子项目的实际运营管理；除另有约定外，各方各取利润，互不干涉。若蒙草及中建基础均不具备子项目建设的相关资质，项目公司将严格按照法律法规的要求通过公开招投标等合法的采购方式确定其他的服务供应商。</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kern w:val="0"/>
          <w:sz w:val="28"/>
          <w:szCs w:val="28"/>
        </w:rPr>
      </w:pPr>
      <w:r>
        <w:rPr>
          <w:rFonts w:hint="eastAsia" w:ascii="宋体" w:hAnsi="宋体" w:cs="宋体"/>
          <w:kern w:val="0"/>
          <w:sz w:val="28"/>
          <w:szCs w:val="28"/>
        </w:rPr>
        <w:t>项目公司应继承所有为建设实施本项目之目的而签署的所有相关合同（包括但不限于PPP协议等）。所有的该等合同的相关工作成果和费用由项目公司继承，该等合同项下的责任和义务亦由该项目公司承担，并且该等合同产生的一切费用都计入项目总投资，由项目公司承担。鉴于项目公司成立前，所有前期费用均由蒙草支付，所有费用在SPV设立之日起10个工作日内由SPV支付给蒙草。</w:t>
      </w:r>
    </w:p>
    <w:p>
      <w:pPr>
        <w:pStyle w:val="19"/>
        <w:pageBreakBefore w:val="0"/>
        <w:kinsoku/>
        <w:wordWrap/>
        <w:overflowPunct/>
        <w:topLinePunct w:val="0"/>
        <w:bidi w:val="0"/>
        <w:spacing w:line="540" w:lineRule="exact"/>
        <w:ind w:left="0" w:leftChars="0" w:right="0" w:rightChars="0" w:firstLine="560"/>
        <w:textAlignment w:val="auto"/>
        <w:rPr>
          <w:rFonts w:ascii="宋体" w:hAnsi="宋体" w:cs="宋体"/>
          <w:sz w:val="28"/>
          <w:szCs w:val="28"/>
        </w:rPr>
      </w:pPr>
      <w:r>
        <w:rPr>
          <w:rFonts w:hint="eastAsia" w:ascii="宋体" w:hAnsi="宋体" w:cs="宋体"/>
          <w:sz w:val="28"/>
          <w:szCs w:val="28"/>
        </w:rPr>
        <w:t>a、锁股期义务</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各社会资本股东在项目公司成立后，在基金进行增资扩股后五年内，本项目中的各社会资本股东均不得退出，不得发生股权变更情形。</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b、股权移交</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项目公司的经营期届满，可以选择公司清算或社会资本将其股权转让给市政府指定机构，并接受该受让股权机构支付的对价，以实现退出。</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因政府、公司、法律变更、政府行为或不可抗力等原因而提前终止PPP协议，相应社会资本股东依PPP协议可将股权移交市政府指定的机构，并接受该受让股权机构支付的对价。</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上述股权移交对价以政府及社会资本方认可的具有相关资质的资产评估机构进行评估后确定。股权移交后，该受让股权机构成为项目公司的新股东。</w:t>
      </w:r>
    </w:p>
    <w:p>
      <w:pPr>
        <w:pStyle w:val="19"/>
        <w:pageBreakBefore w:val="0"/>
        <w:kinsoku/>
        <w:wordWrap/>
        <w:overflowPunct/>
        <w:topLinePunct w:val="0"/>
        <w:bidi w:val="0"/>
        <w:spacing w:line="540" w:lineRule="exact"/>
        <w:ind w:left="0" w:leftChars="0" w:right="0" w:rightChars="0" w:firstLine="562"/>
        <w:textAlignment w:val="auto"/>
        <w:rPr>
          <w:rFonts w:ascii="宋体" w:hAnsi="宋体" w:cs="宋体"/>
          <w:sz w:val="28"/>
          <w:szCs w:val="28"/>
        </w:rPr>
      </w:pPr>
      <w:r>
        <w:rPr>
          <w:rFonts w:hint="eastAsia" w:ascii="宋体" w:hAnsi="宋体" w:cs="宋体"/>
          <w:b/>
          <w:bCs/>
          <w:sz w:val="28"/>
          <w:szCs w:val="28"/>
        </w:rPr>
        <w:t>（2）提供你公司与中标联合体之间的合作协议，相关合同以及签署时间；</w:t>
      </w:r>
    </w:p>
    <w:p>
      <w:pPr>
        <w:pStyle w:val="19"/>
        <w:pageBreakBefore w:val="0"/>
        <w:kinsoku/>
        <w:wordWrap/>
        <w:overflowPunct/>
        <w:topLinePunct w:val="0"/>
        <w:bidi w:val="0"/>
        <w:spacing w:line="540" w:lineRule="exact"/>
        <w:ind w:left="0" w:leftChars="0" w:right="0" w:rightChars="0" w:firstLine="560"/>
        <w:textAlignment w:val="auto"/>
        <w:rPr>
          <w:rFonts w:ascii="宋体" w:hAnsi="宋体" w:cs="宋体"/>
          <w:bCs/>
          <w:sz w:val="28"/>
          <w:szCs w:val="28"/>
        </w:rPr>
      </w:pPr>
      <w:bookmarkStart w:id="24" w:name="OLE_LINK17"/>
      <w:r>
        <w:rPr>
          <w:rFonts w:hint="eastAsia" w:ascii="宋体" w:hAnsi="宋体" w:cs="宋体"/>
          <w:bCs/>
          <w:sz w:val="28"/>
          <w:szCs w:val="28"/>
        </w:rPr>
        <w:t>《项目公司股东合作协议</w:t>
      </w:r>
      <w:bookmarkEnd w:id="24"/>
      <w:r>
        <w:rPr>
          <w:rFonts w:hint="eastAsia" w:ascii="宋体" w:hAnsi="宋体" w:cs="宋体"/>
          <w:bCs/>
          <w:sz w:val="28"/>
          <w:szCs w:val="28"/>
        </w:rPr>
        <w:t>》目前联合体内部各公司正在走相关审批流程，还未正式签署相关合同。</w:t>
      </w:r>
    </w:p>
    <w:p>
      <w:pPr>
        <w:pStyle w:val="19"/>
        <w:pageBreakBefore w:val="0"/>
        <w:kinsoku/>
        <w:wordWrap/>
        <w:overflowPunct/>
        <w:topLinePunct w:val="0"/>
        <w:bidi w:val="0"/>
        <w:spacing w:line="540" w:lineRule="exact"/>
        <w:ind w:left="0" w:leftChars="0" w:right="0" w:rightChars="0" w:firstLine="562"/>
        <w:textAlignment w:val="auto"/>
        <w:rPr>
          <w:rFonts w:ascii="宋体" w:hAnsi="宋体" w:cs="宋体"/>
          <w:b/>
          <w:bCs/>
          <w:sz w:val="28"/>
          <w:szCs w:val="28"/>
        </w:rPr>
      </w:pPr>
      <w:r>
        <w:rPr>
          <w:rFonts w:hint="eastAsia" w:ascii="宋体" w:hAnsi="宋体" w:cs="宋体"/>
          <w:b/>
          <w:bCs/>
          <w:sz w:val="28"/>
          <w:szCs w:val="28"/>
        </w:rPr>
        <w:t>（3）根据中标合同和项目实施计划说明该项目对2016年以及其后年度业绩的影响。</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本项目投资总额为305,257.99万元。项目第一期总投资计划为 11亿元，</w:t>
      </w:r>
      <w:bookmarkStart w:id="25" w:name="OLE_LINK20"/>
      <w:r>
        <w:rPr>
          <w:rFonts w:hint="eastAsia" w:ascii="宋体" w:hAnsi="宋体" w:cs="宋体"/>
          <w:sz w:val="28"/>
          <w:szCs w:val="28"/>
        </w:rPr>
        <w:t>其中2016年计划投资5.5亿，2017年计划投资5.5亿。</w:t>
      </w:r>
      <w:bookmarkEnd w:id="25"/>
      <w:r>
        <w:rPr>
          <w:rFonts w:hint="eastAsia" w:ascii="宋体" w:hAnsi="宋体" w:cs="宋体"/>
          <w:sz w:val="28"/>
          <w:szCs w:val="28"/>
        </w:rPr>
        <w:t>项目第一期总投资中，</w:t>
      </w:r>
      <w:bookmarkStart w:id="26" w:name="OLE_LINK21"/>
      <w:r>
        <w:rPr>
          <w:rFonts w:hint="eastAsia" w:ascii="宋体" w:hAnsi="宋体" w:cs="宋体"/>
          <w:sz w:val="28"/>
          <w:szCs w:val="28"/>
        </w:rPr>
        <w:t>其中生态修复类工程项目约为3亿元</w:t>
      </w:r>
      <w:bookmarkEnd w:id="26"/>
      <w:r>
        <w:rPr>
          <w:rFonts w:hint="eastAsia" w:ascii="宋体" w:hAnsi="宋体" w:cs="宋体"/>
          <w:sz w:val="28"/>
          <w:szCs w:val="28"/>
        </w:rPr>
        <w:t>，工程建设类项目约为5.6亿元，其余为项目运营投入。</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bCs/>
          <w:sz w:val="28"/>
          <w:szCs w:val="28"/>
        </w:rPr>
      </w:pPr>
      <w:r>
        <w:rPr>
          <w:rFonts w:hint="eastAsia" w:ascii="宋体" w:hAnsi="宋体" w:cs="宋体"/>
          <w:sz w:val="28"/>
          <w:szCs w:val="28"/>
        </w:rPr>
        <w:t>根据拟签署的</w:t>
      </w:r>
      <w:r>
        <w:rPr>
          <w:rFonts w:hint="eastAsia" w:ascii="宋体" w:hAnsi="宋体" w:cs="宋体"/>
          <w:bCs/>
          <w:sz w:val="28"/>
          <w:szCs w:val="28"/>
        </w:rPr>
        <w:t>《项目公司股东合作协议》，</w:t>
      </w:r>
      <w:r>
        <w:rPr>
          <w:rFonts w:hint="eastAsia" w:ascii="宋体" w:hAnsi="宋体" w:cs="宋体"/>
          <w:sz w:val="28"/>
          <w:szCs w:val="28"/>
        </w:rPr>
        <w:t>蒙草主要负责统筹生态修复、景观绿化等生态环保类工程子项目，</w:t>
      </w:r>
      <w:r>
        <w:rPr>
          <w:rFonts w:hint="eastAsia" w:ascii="宋体" w:hAnsi="宋体" w:cs="宋体"/>
          <w:kern w:val="0"/>
          <w:sz w:val="28"/>
          <w:szCs w:val="28"/>
        </w:rPr>
        <w:t>阿尔山生态县域</w:t>
      </w:r>
      <w:r>
        <w:rPr>
          <w:rFonts w:hint="eastAsia" w:ascii="宋体" w:hAnsi="宋体" w:cs="宋体"/>
          <w:bCs/>
          <w:sz w:val="28"/>
          <w:szCs w:val="28"/>
        </w:rPr>
        <w:t>经济PPP项目为片区型项目，各子项目需通过滚动开发制定合理的开发时序，因此本项目为“一次授权、分步实施”，各子项目将通过陆续签署《子项目PPP建设运营合同》、《子项目PPP委托运营合同》等予以明确。按照项目一期计划投资11亿元，2016年计划投资5.5亿，2017年计划投资5.5亿，其中生态修复类工程项目约为3亿元，假设蒙草具备相关资质要求承接全部3亿元</w:t>
      </w:r>
      <w:bookmarkStart w:id="27" w:name="OLE_LINK22"/>
      <w:r>
        <w:rPr>
          <w:rFonts w:hint="eastAsia" w:ascii="宋体" w:hAnsi="宋体" w:cs="宋体"/>
          <w:bCs/>
          <w:sz w:val="28"/>
          <w:szCs w:val="28"/>
        </w:rPr>
        <w:t>生态修复类工程</w:t>
      </w:r>
      <w:bookmarkEnd w:id="27"/>
      <w:r>
        <w:rPr>
          <w:rFonts w:hint="eastAsia" w:ascii="宋体" w:hAnsi="宋体" w:cs="宋体"/>
          <w:bCs/>
          <w:sz w:val="28"/>
          <w:szCs w:val="28"/>
        </w:rPr>
        <w:t>项目，按照2016年50%的计划投资比例计算，2016年将承接1.3-1.5亿元的生态修复类工程项目，占公司2015年度经审计营业收入17.68亿元的8.48%。</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bCs/>
          <w:sz w:val="28"/>
          <w:szCs w:val="28"/>
        </w:rPr>
      </w:pPr>
      <w:r>
        <w:rPr>
          <w:rFonts w:hint="eastAsia" w:ascii="宋体" w:hAnsi="宋体" w:cs="宋体"/>
          <w:sz w:val="28"/>
          <w:szCs w:val="28"/>
        </w:rPr>
        <w:t>该项目的实施将对公司2016年度、2017年度的经营业绩产生积极的影响。如项目能够顺利实施，将为公司持续发展提供业务支持，并为公司后续PPP项目的开拓和合作提供更多的经验，将对公司未来业绩产生长期有利影响。</w:t>
      </w:r>
    </w:p>
    <w:p>
      <w:pPr>
        <w:pageBreakBefore w:val="0"/>
        <w:kinsoku/>
        <w:wordWrap/>
        <w:overflowPunct/>
        <w:topLinePunct w:val="0"/>
        <w:autoSpaceDE w:val="0"/>
        <w:autoSpaceDN w:val="0"/>
        <w:bidi w:val="0"/>
        <w:adjustRightInd w:val="0"/>
        <w:spacing w:line="540" w:lineRule="exact"/>
        <w:ind w:left="0" w:leftChars="0" w:right="0" w:rightChars="0" w:firstLine="562" w:firstLineChars="200"/>
        <w:jc w:val="left"/>
        <w:textAlignment w:val="auto"/>
        <w:rPr>
          <w:rFonts w:ascii="宋体" w:hAnsi="宋体" w:cs="宋体"/>
          <w:b/>
          <w:bCs/>
          <w:sz w:val="28"/>
          <w:szCs w:val="28"/>
        </w:rPr>
      </w:pPr>
      <w:bookmarkStart w:id="28" w:name="OLE_LINK5"/>
      <w:r>
        <w:rPr>
          <w:rFonts w:hint="eastAsia" w:ascii="宋体" w:hAnsi="宋体" w:cs="宋体"/>
          <w:b/>
          <w:bCs/>
          <w:sz w:val="28"/>
          <w:szCs w:val="28"/>
        </w:rPr>
        <w:t>5</w:t>
      </w:r>
      <w:r>
        <w:rPr>
          <w:rFonts w:hint="eastAsia" w:ascii="宋体" w:hAnsi="宋体" w:cs="宋体"/>
          <w:b/>
          <w:bCs/>
          <w:kern w:val="0"/>
          <w:sz w:val="28"/>
          <w:szCs w:val="28"/>
        </w:rPr>
        <w:t>、你</w:t>
      </w:r>
      <w:r>
        <w:rPr>
          <w:rFonts w:hint="eastAsia" w:ascii="宋体" w:hAnsi="宋体" w:cs="宋体"/>
          <w:b/>
          <w:bCs/>
          <w:sz w:val="28"/>
          <w:szCs w:val="28"/>
        </w:rPr>
        <w:t>公司在中标公告披露“接到中标通知书后，公司还需与甲方签署PPP项目合同，并依据该合同组建项目公司，由于有较多不确定因素，存在最终签署的PPP项目合同所约定的项目投资金额、合作期限等与中标通知书内容不一致的风险”。请你公司说明该中标通知书是否具有法律效应，已履行及尚需履行的审批或备案程序，不确定因素对中标对本项目的具体影响，签署PPP项目的进程，相关违约责任等。</w:t>
      </w:r>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回复：</w:t>
      </w:r>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sz w:val="28"/>
          <w:szCs w:val="28"/>
        </w:rPr>
      </w:pPr>
      <w:r>
        <w:rPr>
          <w:rFonts w:hint="eastAsia" w:ascii="宋体" w:hAnsi="宋体" w:cs="宋体"/>
          <w:b/>
          <w:bCs/>
          <w:sz w:val="28"/>
          <w:szCs w:val="28"/>
        </w:rPr>
        <w:t>（1）中标通知书的效力</w:t>
      </w:r>
    </w:p>
    <w:p>
      <w:pPr>
        <w:pageBreakBefore w:val="0"/>
        <w:kinsoku/>
        <w:wordWrap/>
        <w:overflowPunct/>
        <w:topLinePunct w:val="0"/>
        <w:bidi w:val="0"/>
        <w:spacing w:line="540" w:lineRule="exact"/>
        <w:ind w:left="0" w:leftChars="0" w:right="0" w:rightChars="0"/>
        <w:textAlignment w:val="auto"/>
        <w:rPr>
          <w:rFonts w:ascii="宋体" w:hAnsi="宋体" w:cs="宋体"/>
          <w:sz w:val="28"/>
          <w:szCs w:val="28"/>
        </w:rPr>
      </w:pPr>
      <w:r>
        <w:rPr>
          <w:rFonts w:hint="eastAsia" w:ascii="宋体" w:hAnsi="宋体" w:cs="宋体"/>
          <w:sz w:val="28"/>
          <w:szCs w:val="28"/>
        </w:rPr>
        <w:t xml:space="preserve">   “中标通知书”是PPP项目采购中的重要环节。从政策要求看，根据财政部《政府和社会资本合作项目政府采购管理办法》（财库【2014】215号）（以下简称215号文）的要求：项目实施机构应当在预中标、成交社会资本确定后10个工作日内，与预中标、成交社会资本签署确认谈判备忘录，并将预中标、成交结果和根据采购文件、响应文件及有关补遗文件和确认谈判备忘录拟定的项目合同文本在省级以上人民政府财政部门指定的政府采购信息发布媒体上进行公示，公示期不得少于5个工作日。项目实施机构应当在公示期满无异议后2个工作日内，将中标、成交结果在省级以上人民政府财政部门指定的政府采购信息发布媒体上进行公告，同时发出中标、成交通知书。</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从实际操作流程看，公司牵头组成的联合体已严格按照PPP项目采购的流程要求，参加阿尔山生态县域经济PPP项目的采购环节，并最终通过竞争性磋商成为中标社会资本方，内蒙古自治区政府采购网已公告中标公告。基于此，中标通知书合法有效。</w:t>
      </w:r>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（2）已履行及尚需履行的审批或备案程序及《PPP项目合同》签署进程。</w:t>
      </w:r>
    </w:p>
    <w:p>
      <w:pPr>
        <w:pageBreakBefore w:val="0"/>
        <w:kinsoku/>
        <w:wordWrap/>
        <w:overflowPunct/>
        <w:topLinePunct w:val="0"/>
        <w:bidi w:val="0"/>
        <w:spacing w:line="540" w:lineRule="exact"/>
        <w:ind w:left="0" w:leftChars="0" w:right="0" w:rightChars="0"/>
        <w:textAlignment w:val="auto"/>
        <w:rPr>
          <w:rFonts w:ascii="宋体" w:hAnsi="宋体" w:cs="宋体"/>
          <w:sz w:val="28"/>
          <w:szCs w:val="28"/>
        </w:rPr>
      </w:pPr>
      <w:r>
        <w:rPr>
          <w:rFonts w:hint="eastAsia" w:ascii="宋体" w:hAnsi="宋体" w:cs="宋体"/>
          <w:sz w:val="28"/>
          <w:szCs w:val="28"/>
        </w:rPr>
        <w:t xml:space="preserve">    根据PPP项目流程要求，目前阿尔山生态县域经济PPP项目已完成项目识别、项目准备及项目采购阶段。其中，根据215号文的要求，项目实施机构应当在中标、成交通知书发出后30日内，与中标、成交社会资本签订经本级人民政府审核同意的PPP项目合同。需要为PPP项目设立专门项目公司的，待项目公司成立后，由项目公司与项目实施机构正式签署PPP项目合同。</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基于上述要求，根据项目实施方案，各方正在筹备项目公司成立事宜。待项目公司成立后，将正式签署《PPP项目合同》，届时将进入项目执行阶段，双方按照合同要求展开进一步合作。</w:t>
      </w:r>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（3）不确定因素对本项目的具体影响：</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目前的不确定因素为项目公司的成立。根据PPP模式要求及双方合同约定，项目公司成立是项目得以实现的前提。项目公司各股东正积极筹备项目公司成立事宜，项目公司章程及股东协议已基本确定，项目公司已完成核名，因此该不确定因素出现变化的可能性极小。</w:t>
      </w:r>
    </w:p>
    <w:p>
      <w:pPr>
        <w:pageBreakBefore w:val="0"/>
        <w:widowControl/>
        <w:kinsoku/>
        <w:wordWrap/>
        <w:overflowPunct/>
        <w:topLinePunct w:val="0"/>
        <w:bidi w:val="0"/>
        <w:spacing w:line="540" w:lineRule="exact"/>
        <w:ind w:left="0" w:leftChars="0" w:right="0" w:rightChars="0" w:firstLine="562" w:firstLineChars="200"/>
        <w:jc w:val="left"/>
        <w:textAlignment w:val="auto"/>
        <w:rPr>
          <w:rFonts w:ascii="宋体" w:hAnsi="宋体" w:cs="宋体"/>
          <w:kern w:val="0"/>
          <w:sz w:val="28"/>
          <w:szCs w:val="28"/>
        </w:rPr>
      </w:pPr>
      <w:r>
        <w:rPr>
          <w:rFonts w:hint="eastAsia" w:ascii="宋体" w:hAnsi="宋体" w:cs="宋体"/>
          <w:b/>
          <w:bCs/>
          <w:sz w:val="28"/>
          <w:szCs w:val="28"/>
        </w:rPr>
        <w:t>（4）</w:t>
      </w:r>
      <w:r>
        <w:rPr>
          <w:rFonts w:hint="eastAsia" w:ascii="宋体" w:hAnsi="宋体" w:cs="宋体"/>
          <w:b/>
          <w:bCs/>
          <w:kern w:val="0"/>
          <w:sz w:val="28"/>
          <w:szCs w:val="28"/>
        </w:rPr>
        <w:t>相关违约责任</w:t>
      </w:r>
      <w:r>
        <w:rPr>
          <w:rFonts w:hint="eastAsia" w:ascii="宋体" w:hAnsi="宋体" w:cs="宋体"/>
          <w:kern w:val="0"/>
          <w:sz w:val="28"/>
          <w:szCs w:val="28"/>
        </w:rPr>
        <w:t>：</w:t>
      </w:r>
    </w:p>
    <w:p>
      <w:pPr>
        <w:pStyle w:val="3"/>
        <w:pageBreakBefore w:val="0"/>
        <w:kinsoku/>
        <w:wordWrap/>
        <w:overflowPunct/>
        <w:topLinePunct w:val="0"/>
        <w:bidi w:val="0"/>
        <w:spacing w:before="0" w:after="0" w:line="540" w:lineRule="exact"/>
        <w:ind w:left="0" w:leftChars="0" w:right="0" w:rightChars="0" w:firstLine="562" w:firstLineChars="200"/>
        <w:textAlignment w:val="auto"/>
        <w:rPr>
          <w:rFonts w:ascii="宋体" w:hAnsi="宋体" w:eastAsia="宋体" w:cs="宋体"/>
          <w:sz w:val="28"/>
          <w:szCs w:val="28"/>
        </w:rPr>
      </w:pPr>
      <w:r>
        <w:rPr>
          <w:rFonts w:hint="eastAsia" w:ascii="宋体" w:hAnsi="宋体" w:eastAsia="宋体" w:cs="宋体"/>
          <w:sz w:val="28"/>
          <w:szCs w:val="28"/>
        </w:rPr>
        <w:t>1）违约事由</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甲方违约（甲方指“阿尔山市外事口岸管理局”）</w:t>
      </w:r>
    </w:p>
    <w:p>
      <w:pPr>
        <w:pageBreakBefore w:val="0"/>
        <w:kinsoku/>
        <w:wordWrap/>
        <w:overflowPunct/>
        <w:topLinePunct w:val="0"/>
        <w:bidi w:val="0"/>
        <w:spacing w:line="540" w:lineRule="exact"/>
        <w:ind w:left="0" w:leftChars="0" w:right="0" w:rightChars="0" w:firstLine="560" w:firstLineChars="200"/>
        <w:jc w:val="left"/>
        <w:textAlignment w:val="auto"/>
        <w:rPr>
          <w:rFonts w:ascii="宋体" w:hAnsi="宋体" w:cs="宋体"/>
          <w:sz w:val="28"/>
          <w:szCs w:val="28"/>
        </w:rPr>
      </w:pPr>
      <w:r>
        <w:rPr>
          <w:rFonts w:hint="eastAsia" w:ascii="宋体" w:hAnsi="宋体" w:cs="宋体"/>
          <w:sz w:val="28"/>
          <w:szCs w:val="28"/>
        </w:rPr>
        <w:t>未按合同约定向项目公司付费或提供补贴的；违反合同约定转让PPP项目合同项下义务的；发生甲方可控的对项目设施或项目公司股份的征收或征用的；发生政府方可控的法律变更导致PPP项目合同无法继续履行的；其他违反PPP项目合同项下义务，并导致项目公司无法履行合同的情形；未履行合同约定的其他义务的。</w:t>
      </w:r>
    </w:p>
    <w:p>
      <w:pPr>
        <w:pageBreakBefore w:val="0"/>
        <w:kinsoku/>
        <w:wordWrap/>
        <w:overflowPunct/>
        <w:topLinePunct w:val="0"/>
        <w:bidi w:val="0"/>
        <w:spacing w:line="540" w:lineRule="exact"/>
        <w:ind w:left="0" w:leftChars="0" w:right="0" w:rightChars="0" w:firstLine="560" w:firstLineChars="200"/>
        <w:jc w:val="left"/>
        <w:textAlignment w:val="auto"/>
        <w:rPr>
          <w:rFonts w:ascii="宋体" w:hAnsi="宋体" w:cs="宋体"/>
          <w:sz w:val="28"/>
          <w:szCs w:val="28"/>
        </w:rPr>
      </w:pPr>
      <w:r>
        <w:rPr>
          <w:rFonts w:hint="eastAsia" w:ascii="宋体" w:hAnsi="宋体" w:cs="宋体"/>
          <w:sz w:val="28"/>
          <w:szCs w:val="28"/>
        </w:rPr>
        <w:t>乙方违约（乙方指“项目公司”）</w:t>
      </w:r>
    </w:p>
    <w:p>
      <w:pPr>
        <w:pageBreakBefore w:val="0"/>
        <w:kinsoku/>
        <w:wordWrap/>
        <w:overflowPunct/>
        <w:topLinePunct w:val="0"/>
        <w:bidi w:val="0"/>
        <w:spacing w:line="540" w:lineRule="exact"/>
        <w:ind w:left="0" w:leftChars="0" w:right="0" w:rightChars="0" w:firstLine="560" w:firstLineChars="200"/>
        <w:jc w:val="left"/>
        <w:textAlignment w:val="auto"/>
        <w:rPr>
          <w:rFonts w:ascii="宋体" w:hAnsi="宋体" w:cs="宋体"/>
          <w:sz w:val="28"/>
          <w:szCs w:val="28"/>
        </w:rPr>
      </w:pPr>
      <w:r>
        <w:rPr>
          <w:rFonts w:hint="eastAsia" w:ascii="宋体" w:hAnsi="宋体" w:cs="宋体"/>
          <w:sz w:val="28"/>
          <w:szCs w:val="28"/>
        </w:rPr>
        <w:t>乙方破产或资不抵债的；乙方未在约定时间内实现约定的建设进度或项目完工或开始运营，且逾期超过双方约定时限的；乙方未按照规定的要求和标准提供产品或服务，情节严重或造成严重后果的；乙方违反合同约定的股权变更限制的；未按合同约定为PPP项目或相关资产购买保险的；为履行合同约定的其他义务的。</w:t>
      </w:r>
    </w:p>
    <w:p>
      <w:pPr>
        <w:pStyle w:val="3"/>
        <w:pageBreakBefore w:val="0"/>
        <w:kinsoku/>
        <w:wordWrap/>
        <w:overflowPunct/>
        <w:topLinePunct w:val="0"/>
        <w:bidi w:val="0"/>
        <w:spacing w:before="0" w:after="0" w:line="540" w:lineRule="exact"/>
        <w:ind w:left="0" w:leftChars="0" w:right="0" w:rightChars="0" w:firstLine="562" w:firstLineChars="200"/>
        <w:textAlignment w:val="auto"/>
        <w:rPr>
          <w:rFonts w:ascii="宋体" w:hAnsi="宋体" w:eastAsia="宋体" w:cs="宋体"/>
          <w:sz w:val="28"/>
          <w:szCs w:val="28"/>
        </w:rPr>
      </w:pPr>
      <w:bookmarkStart w:id="29" w:name="_Toc427682152"/>
      <w:bookmarkStart w:id="30" w:name="_Toc25553"/>
      <w:bookmarkStart w:id="31" w:name="_Toc8238"/>
      <w:bookmarkStart w:id="32" w:name="_Toc453015770"/>
      <w:r>
        <w:rPr>
          <w:rFonts w:hint="eastAsia" w:ascii="宋体" w:hAnsi="宋体" w:eastAsia="宋体" w:cs="宋体"/>
          <w:sz w:val="28"/>
          <w:szCs w:val="28"/>
        </w:rPr>
        <w:t>2）违约责任承担方式</w:t>
      </w:r>
      <w:bookmarkEnd w:id="29"/>
      <w:bookmarkEnd w:id="30"/>
      <w:bookmarkEnd w:id="31"/>
      <w:bookmarkEnd w:id="32"/>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sym w:font="Wingdings" w:char="F081"/>
      </w:r>
      <w:r>
        <w:rPr>
          <w:rFonts w:hint="eastAsia" w:ascii="宋体" w:hAnsi="宋体" w:cs="宋体"/>
          <w:sz w:val="28"/>
          <w:szCs w:val="28"/>
        </w:rPr>
        <w:t>实际履行：要求违约方继续履行合同；守约方暂时停止履行义务，待违约方违约情势消除后恢复履行；守约方根据此款约定暂停履行义务不构成守约方不履行或迟延履行义务。</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sym w:font="Wingdings" w:char="F082"/>
      </w:r>
      <w:r>
        <w:rPr>
          <w:rFonts w:hint="eastAsia" w:ascii="宋体" w:hAnsi="宋体" w:cs="宋体"/>
          <w:sz w:val="28"/>
          <w:szCs w:val="28"/>
        </w:rPr>
        <w:t>赔偿：任何一方有权获得因另一方违约而使该方遭受的任何损失、支出和费用（包括但不限于评估费、律师费、诉讼费等）的赔偿，该项赔偿经双方确认后由违约方一次性支付；违约导致项目移交的，违约赔偿由违约金及资产的账面价值计构成。</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sym w:font="Wingdings" w:char="0083"/>
      </w:r>
      <w:r>
        <w:rPr>
          <w:rFonts w:hint="eastAsia" w:ascii="宋体" w:hAnsi="宋体" w:cs="宋体"/>
          <w:sz w:val="28"/>
          <w:szCs w:val="28"/>
        </w:rPr>
        <w:t>解除合同：非违约方催告并给予合理的宽限期后，违约方仍然不履行相关义务的，可以解除合同。</w:t>
      </w:r>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3）减轻损失的措施</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由于违约方违约，而遭受损失的另一方应采取合理行动减轻损失。如果另一方未能采取此类措施，违约方可以请求从赔偿金额中扣除应能够减轻或减少的损失金额。受损害的一方应有权从另一方获得其为减轻损失而采取行动所发生的合理费用。</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第三方介入权：项目公司违约事件发生且在限期内无法补救的，融资方或其指定的第三方可以行使介入权；介入期间产生的费用由违约方承担。</w:t>
      </w:r>
    </w:p>
    <w:p>
      <w:pPr>
        <w:pageBreakBefore w:val="0"/>
        <w:kinsoku/>
        <w:wordWrap/>
        <w:overflowPunct/>
        <w:topLinePunct w:val="0"/>
        <w:bidi w:val="0"/>
        <w:spacing w:line="540" w:lineRule="exact"/>
        <w:ind w:left="0" w:leftChars="0" w:right="0" w:rightChars="0" w:firstLine="560" w:firstLineChars="200"/>
        <w:textAlignment w:val="auto"/>
        <w:rPr>
          <w:rFonts w:ascii="宋体" w:hAnsi="宋体" w:cs="宋体"/>
          <w:sz w:val="28"/>
          <w:szCs w:val="28"/>
        </w:rPr>
      </w:pPr>
      <w:r>
        <w:rPr>
          <w:rFonts w:hint="eastAsia" w:ascii="宋体" w:hAnsi="宋体" w:cs="宋体"/>
          <w:sz w:val="28"/>
          <w:szCs w:val="28"/>
        </w:rPr>
        <w:t>法律规定的其他救济方式。</w:t>
      </w:r>
      <w:bookmarkStart w:id="33" w:name="_Toc453015771"/>
      <w:bookmarkStart w:id="34" w:name="_Toc427682153"/>
      <w:bookmarkStart w:id="35" w:name="_Toc19880"/>
      <w:bookmarkStart w:id="36" w:name="_Toc27247"/>
    </w:p>
    <w:p>
      <w:pPr>
        <w:pageBreakBefore w:val="0"/>
        <w:kinsoku/>
        <w:wordWrap/>
        <w:overflowPunct/>
        <w:topLinePunct w:val="0"/>
        <w:bidi w:val="0"/>
        <w:spacing w:line="540" w:lineRule="exact"/>
        <w:ind w:left="0" w:leftChars="0" w:right="0" w:rightChars="0" w:firstLine="562" w:firstLineChars="200"/>
        <w:textAlignment w:val="auto"/>
        <w:rPr>
          <w:rFonts w:ascii="宋体" w:hAnsi="宋体" w:cs="宋体"/>
          <w:b/>
          <w:bCs/>
          <w:sz w:val="28"/>
          <w:szCs w:val="28"/>
        </w:rPr>
      </w:pPr>
      <w:r>
        <w:rPr>
          <w:rFonts w:hint="eastAsia" w:ascii="宋体" w:hAnsi="宋体" w:cs="宋体"/>
          <w:b/>
          <w:bCs/>
          <w:sz w:val="28"/>
          <w:szCs w:val="28"/>
        </w:rPr>
        <w:t>4）违约行为的处理</w:t>
      </w:r>
      <w:bookmarkEnd w:id="33"/>
      <w:bookmarkEnd w:id="34"/>
      <w:bookmarkEnd w:id="35"/>
      <w:bookmarkEnd w:id="36"/>
    </w:p>
    <w:p>
      <w:pPr>
        <w:pageBreakBefore w:val="0"/>
        <w:kinsoku/>
        <w:wordWrap/>
        <w:overflowPunct/>
        <w:topLinePunct w:val="0"/>
        <w:bidi w:val="0"/>
        <w:spacing w:line="540" w:lineRule="exact"/>
        <w:ind w:left="0" w:leftChars="0" w:right="0" w:rightChars="0" w:firstLine="560" w:firstLineChars="200"/>
        <w:textAlignment w:val="auto"/>
        <w:rPr>
          <w:rFonts w:hint="eastAsia" w:ascii="宋体" w:hAnsi="宋体" w:cs="宋体"/>
          <w:sz w:val="28"/>
          <w:szCs w:val="28"/>
        </w:rPr>
      </w:pPr>
      <w:r>
        <w:rPr>
          <w:rFonts w:hint="eastAsia" w:ascii="宋体" w:hAnsi="宋体" w:cs="宋体"/>
          <w:sz w:val="28"/>
          <w:szCs w:val="28"/>
        </w:rPr>
        <w:t>发生上述违约行为时，未违约的合同相对方应及时通知违约方，并要求违约方在限期内进行补救，如违约方在该限期内仍无法补救的，则合同相对方有权终止PPP项目合同并要求相应赔偿。</w:t>
      </w:r>
    </w:p>
    <w:bookmarkEnd w:id="28"/>
    <w:p>
      <w:pPr>
        <w:pStyle w:val="29"/>
        <w:keepNext w:val="0"/>
        <w:keepLines w:val="0"/>
        <w:pageBreakBefore w:val="0"/>
        <w:widowControl w:val="0"/>
        <w:kinsoku/>
        <w:wordWrap/>
        <w:overflowPunct/>
        <w:topLinePunct w:val="0"/>
        <w:bidi w:val="0"/>
        <w:snapToGrid/>
        <w:spacing w:beforeAutospacing="0" w:afterAutospacing="0" w:line="54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特此公告。</w:t>
      </w:r>
    </w:p>
    <w:p>
      <w:pPr>
        <w:pStyle w:val="29"/>
        <w:keepNext w:val="0"/>
        <w:keepLines w:val="0"/>
        <w:pageBreakBefore w:val="0"/>
        <w:widowControl w:val="0"/>
        <w:kinsoku/>
        <w:wordWrap/>
        <w:overflowPunct/>
        <w:topLinePunct w:val="0"/>
        <w:bidi w:val="0"/>
        <w:snapToGrid/>
        <w:spacing w:beforeAutospacing="0" w:afterAutospacing="0" w:line="540" w:lineRule="exact"/>
        <w:ind w:left="0" w:leftChars="0" w:right="0" w:rightChars="0" w:firstLine="560" w:firstLineChars="200"/>
        <w:jc w:val="both"/>
        <w:textAlignment w:val="auto"/>
        <w:outlineLvl w:val="9"/>
        <w:rPr>
          <w:rFonts w:hint="eastAsia" w:ascii="宋体" w:hAnsi="宋体" w:eastAsia="宋体" w:cs="宋体"/>
          <w:sz w:val="28"/>
          <w:szCs w:val="28"/>
        </w:rPr>
      </w:pPr>
    </w:p>
    <w:p>
      <w:pPr>
        <w:pStyle w:val="29"/>
        <w:keepNext w:val="0"/>
        <w:keepLines w:val="0"/>
        <w:pageBreakBefore w:val="0"/>
        <w:widowControl w:val="0"/>
        <w:kinsoku/>
        <w:wordWrap/>
        <w:overflowPunct/>
        <w:topLinePunct w:val="0"/>
        <w:bidi w:val="0"/>
        <w:snapToGrid/>
        <w:spacing w:beforeAutospacing="0" w:afterAutospacing="0" w:line="540" w:lineRule="exact"/>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bidi w:val="0"/>
        <w:snapToGrid/>
        <w:spacing w:beforeAutospacing="0" w:afterAutospacing="0" w:line="540" w:lineRule="exact"/>
        <w:ind w:left="0" w:leftChars="0" w:right="0" w:rightChars="0" w:firstLine="2380" w:firstLineChars="850"/>
        <w:jc w:val="both"/>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内蒙古蒙草</w:t>
      </w:r>
      <w:r>
        <w:rPr>
          <w:rFonts w:hint="eastAsia" w:ascii="宋体" w:hAnsi="宋体" w:cs="宋体"/>
          <w:color w:val="000000"/>
          <w:kern w:val="0"/>
          <w:sz w:val="28"/>
          <w:szCs w:val="28"/>
          <w:lang w:eastAsia="zh-CN"/>
        </w:rPr>
        <w:t>生态环境（集团）</w:t>
      </w:r>
      <w:r>
        <w:rPr>
          <w:rFonts w:hint="eastAsia" w:ascii="宋体" w:hAnsi="宋体" w:eastAsia="宋体" w:cs="宋体"/>
          <w:color w:val="000000"/>
          <w:kern w:val="0"/>
          <w:sz w:val="28"/>
          <w:szCs w:val="28"/>
        </w:rPr>
        <w:t>股份有限公司</w:t>
      </w:r>
    </w:p>
    <w:p>
      <w:pPr>
        <w:keepNext w:val="0"/>
        <w:keepLines w:val="0"/>
        <w:pageBreakBefore w:val="0"/>
        <w:widowControl w:val="0"/>
        <w:kinsoku/>
        <w:wordWrap/>
        <w:overflowPunct/>
        <w:topLinePunct w:val="0"/>
        <w:bidi w:val="0"/>
        <w:snapToGrid/>
        <w:spacing w:beforeAutospacing="0" w:afterAutospacing="0" w:line="540" w:lineRule="exact"/>
        <w:ind w:left="0" w:leftChars="0" w:right="0" w:rightChars="0" w:firstLine="4200" w:firstLineChars="1500"/>
        <w:jc w:val="both"/>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董  事  会</w:t>
      </w:r>
    </w:p>
    <w:p>
      <w:pPr>
        <w:keepNext w:val="0"/>
        <w:keepLines w:val="0"/>
        <w:pageBreakBefore w:val="0"/>
        <w:widowControl w:val="0"/>
        <w:kinsoku/>
        <w:wordWrap/>
        <w:overflowPunct/>
        <w:topLinePunct w:val="0"/>
        <w:bidi w:val="0"/>
        <w:snapToGrid/>
        <w:spacing w:beforeAutospacing="0" w:afterAutospacing="0" w:line="540" w:lineRule="exact"/>
        <w:ind w:left="0" w:leftChars="0" w:right="0" w:rightChars="0" w:firstLine="3220" w:firstLineChars="1150"/>
        <w:jc w:val="both"/>
        <w:textAlignment w:val="auto"/>
        <w:outlineLvl w:val="9"/>
        <w:rPr>
          <w:rFonts w:ascii="宋体" w:hAnsi="宋体"/>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二〇一</w:t>
      </w:r>
      <w:r>
        <w:rPr>
          <w:rFonts w:hint="eastAsia" w:ascii="宋体" w:hAnsi="宋体" w:eastAsia="宋体" w:cs="宋体"/>
          <w:color w:val="000000"/>
          <w:kern w:val="0"/>
          <w:sz w:val="28"/>
          <w:szCs w:val="28"/>
          <w:lang w:eastAsia="zh-CN"/>
        </w:rPr>
        <w:t>六</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eastAsia="zh-CN"/>
        </w:rPr>
        <w:t>七月十</w:t>
      </w:r>
      <w:r>
        <w:rPr>
          <w:rFonts w:hint="eastAsia" w:ascii="宋体" w:hAnsi="宋体" w:cs="宋体"/>
          <w:color w:val="000000"/>
          <w:kern w:val="0"/>
          <w:sz w:val="28"/>
          <w:szCs w:val="28"/>
          <w:lang w:eastAsia="zh-CN"/>
        </w:rPr>
        <w:t>二</w:t>
      </w:r>
      <w:bookmarkStart w:id="37" w:name="_GoBack"/>
      <w:bookmarkEnd w:id="37"/>
      <w:r>
        <w:rPr>
          <w:rFonts w:hint="eastAsia" w:ascii="宋体" w:hAnsi="宋体" w:eastAsia="宋体" w:cs="宋体"/>
          <w:color w:val="000000"/>
          <w:kern w:val="0"/>
          <w:sz w:val="28"/>
          <w:szCs w:val="28"/>
        </w:rPr>
        <w:t>日</w:t>
      </w:r>
    </w:p>
    <w:p>
      <w:pPr>
        <w:topLinePunct/>
        <w:spacing w:line="560" w:lineRule="exact"/>
        <w:rPr>
          <w:rFonts w:ascii="仿宋_GB2312" w:eastAsia="仿宋_GB2312"/>
          <w:sz w:val="32"/>
          <w:szCs w:val="32"/>
        </w:rPr>
      </w:pPr>
    </w:p>
    <w:sectPr>
      <w:footerReference r:id="rId3" w:type="default"/>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E3DD7"/>
    <w:rsid w:val="00000C0E"/>
    <w:rsid w:val="00013949"/>
    <w:rsid w:val="00027A0A"/>
    <w:rsid w:val="00043C62"/>
    <w:rsid w:val="0005719C"/>
    <w:rsid w:val="00057F8A"/>
    <w:rsid w:val="000617A6"/>
    <w:rsid w:val="00066414"/>
    <w:rsid w:val="00066C33"/>
    <w:rsid w:val="000B0984"/>
    <w:rsid w:val="000B53E7"/>
    <w:rsid w:val="000C0B75"/>
    <w:rsid w:val="000C2C76"/>
    <w:rsid w:val="000E3122"/>
    <w:rsid w:val="000F2BEE"/>
    <w:rsid w:val="00100266"/>
    <w:rsid w:val="00141447"/>
    <w:rsid w:val="0014713A"/>
    <w:rsid w:val="00167771"/>
    <w:rsid w:val="001809D9"/>
    <w:rsid w:val="00195219"/>
    <w:rsid w:val="001A2544"/>
    <w:rsid w:val="001E6D55"/>
    <w:rsid w:val="001F3C15"/>
    <w:rsid w:val="002037E8"/>
    <w:rsid w:val="0021123B"/>
    <w:rsid w:val="00237673"/>
    <w:rsid w:val="0025030E"/>
    <w:rsid w:val="002D6962"/>
    <w:rsid w:val="002F392B"/>
    <w:rsid w:val="002F5B0D"/>
    <w:rsid w:val="0030469D"/>
    <w:rsid w:val="003247B9"/>
    <w:rsid w:val="00334484"/>
    <w:rsid w:val="0033576A"/>
    <w:rsid w:val="00361608"/>
    <w:rsid w:val="0036707A"/>
    <w:rsid w:val="00373891"/>
    <w:rsid w:val="00373C4A"/>
    <w:rsid w:val="003925E8"/>
    <w:rsid w:val="003D0C73"/>
    <w:rsid w:val="003D6BED"/>
    <w:rsid w:val="003E4B1C"/>
    <w:rsid w:val="004223CE"/>
    <w:rsid w:val="00427BE6"/>
    <w:rsid w:val="00462F1E"/>
    <w:rsid w:val="0046661B"/>
    <w:rsid w:val="0048691E"/>
    <w:rsid w:val="004D4AAF"/>
    <w:rsid w:val="004E3571"/>
    <w:rsid w:val="004F68B4"/>
    <w:rsid w:val="00505F1B"/>
    <w:rsid w:val="00520998"/>
    <w:rsid w:val="00532138"/>
    <w:rsid w:val="00541328"/>
    <w:rsid w:val="00544A98"/>
    <w:rsid w:val="005456D8"/>
    <w:rsid w:val="005459FD"/>
    <w:rsid w:val="00564980"/>
    <w:rsid w:val="0056680F"/>
    <w:rsid w:val="00573B0D"/>
    <w:rsid w:val="00591D0C"/>
    <w:rsid w:val="00592992"/>
    <w:rsid w:val="00607EB8"/>
    <w:rsid w:val="00612E54"/>
    <w:rsid w:val="00643E99"/>
    <w:rsid w:val="00645351"/>
    <w:rsid w:val="00670DD1"/>
    <w:rsid w:val="00671E76"/>
    <w:rsid w:val="00672BE6"/>
    <w:rsid w:val="00674F1A"/>
    <w:rsid w:val="006A72FA"/>
    <w:rsid w:val="006D769A"/>
    <w:rsid w:val="006E4303"/>
    <w:rsid w:val="006F6A4C"/>
    <w:rsid w:val="006F73B2"/>
    <w:rsid w:val="007033FE"/>
    <w:rsid w:val="007108A5"/>
    <w:rsid w:val="00712C76"/>
    <w:rsid w:val="00724CA4"/>
    <w:rsid w:val="007355F7"/>
    <w:rsid w:val="00745BF4"/>
    <w:rsid w:val="00762669"/>
    <w:rsid w:val="007667D4"/>
    <w:rsid w:val="0079749B"/>
    <w:rsid w:val="007A0218"/>
    <w:rsid w:val="007A7D0A"/>
    <w:rsid w:val="007C0D3E"/>
    <w:rsid w:val="007C516E"/>
    <w:rsid w:val="007D48CE"/>
    <w:rsid w:val="007E6612"/>
    <w:rsid w:val="007F1CA3"/>
    <w:rsid w:val="007F46DC"/>
    <w:rsid w:val="00802EFC"/>
    <w:rsid w:val="0081165E"/>
    <w:rsid w:val="00830B37"/>
    <w:rsid w:val="008426E4"/>
    <w:rsid w:val="00860392"/>
    <w:rsid w:val="008765F2"/>
    <w:rsid w:val="008920FF"/>
    <w:rsid w:val="0089373F"/>
    <w:rsid w:val="008A44A1"/>
    <w:rsid w:val="008B775D"/>
    <w:rsid w:val="008C1CB4"/>
    <w:rsid w:val="008C2EC5"/>
    <w:rsid w:val="008D2F4C"/>
    <w:rsid w:val="008F5D46"/>
    <w:rsid w:val="008F7721"/>
    <w:rsid w:val="00902451"/>
    <w:rsid w:val="009034A1"/>
    <w:rsid w:val="00911610"/>
    <w:rsid w:val="00923722"/>
    <w:rsid w:val="00944D9F"/>
    <w:rsid w:val="009703EC"/>
    <w:rsid w:val="00973532"/>
    <w:rsid w:val="0099619C"/>
    <w:rsid w:val="009E0FD4"/>
    <w:rsid w:val="009E3DD7"/>
    <w:rsid w:val="009F12A8"/>
    <w:rsid w:val="00A1054A"/>
    <w:rsid w:val="00A124C4"/>
    <w:rsid w:val="00A141CB"/>
    <w:rsid w:val="00A343BB"/>
    <w:rsid w:val="00A621B3"/>
    <w:rsid w:val="00A83497"/>
    <w:rsid w:val="00A97675"/>
    <w:rsid w:val="00AB281C"/>
    <w:rsid w:val="00AD620F"/>
    <w:rsid w:val="00AF59CA"/>
    <w:rsid w:val="00B20644"/>
    <w:rsid w:val="00B3380F"/>
    <w:rsid w:val="00B36AEE"/>
    <w:rsid w:val="00B41859"/>
    <w:rsid w:val="00B855FF"/>
    <w:rsid w:val="00BA7092"/>
    <w:rsid w:val="00BB52DC"/>
    <w:rsid w:val="00BF29DF"/>
    <w:rsid w:val="00BF6830"/>
    <w:rsid w:val="00C42955"/>
    <w:rsid w:val="00C57457"/>
    <w:rsid w:val="00C7166D"/>
    <w:rsid w:val="00C86EB3"/>
    <w:rsid w:val="00C95AC2"/>
    <w:rsid w:val="00C97AA7"/>
    <w:rsid w:val="00CE0F30"/>
    <w:rsid w:val="00D14BBF"/>
    <w:rsid w:val="00D31328"/>
    <w:rsid w:val="00D320E5"/>
    <w:rsid w:val="00D631C3"/>
    <w:rsid w:val="00D66882"/>
    <w:rsid w:val="00D70825"/>
    <w:rsid w:val="00DA5788"/>
    <w:rsid w:val="00DB78CE"/>
    <w:rsid w:val="00DC1A9D"/>
    <w:rsid w:val="00DD4B43"/>
    <w:rsid w:val="00DE75C2"/>
    <w:rsid w:val="00E07685"/>
    <w:rsid w:val="00E17951"/>
    <w:rsid w:val="00E517E5"/>
    <w:rsid w:val="00E62A0E"/>
    <w:rsid w:val="00E85CAC"/>
    <w:rsid w:val="00E9022B"/>
    <w:rsid w:val="00E9551C"/>
    <w:rsid w:val="00EA1A64"/>
    <w:rsid w:val="00EA5407"/>
    <w:rsid w:val="00EC0BF1"/>
    <w:rsid w:val="00ED61BF"/>
    <w:rsid w:val="00ED7ED3"/>
    <w:rsid w:val="00F036A1"/>
    <w:rsid w:val="00F06F99"/>
    <w:rsid w:val="00F32AA7"/>
    <w:rsid w:val="00F43984"/>
    <w:rsid w:val="00F46032"/>
    <w:rsid w:val="00F779E2"/>
    <w:rsid w:val="00F852A2"/>
    <w:rsid w:val="00FA0CEA"/>
    <w:rsid w:val="00FA4F15"/>
    <w:rsid w:val="00FF3AF6"/>
    <w:rsid w:val="05AD760C"/>
    <w:rsid w:val="0A3A2298"/>
    <w:rsid w:val="0B171706"/>
    <w:rsid w:val="0CAB75A8"/>
    <w:rsid w:val="0CE36F9A"/>
    <w:rsid w:val="0FC64B7F"/>
    <w:rsid w:val="10AF152C"/>
    <w:rsid w:val="11020114"/>
    <w:rsid w:val="12851801"/>
    <w:rsid w:val="13395977"/>
    <w:rsid w:val="13C30DB2"/>
    <w:rsid w:val="153C380E"/>
    <w:rsid w:val="161B6E33"/>
    <w:rsid w:val="1A032B09"/>
    <w:rsid w:val="1C6C2751"/>
    <w:rsid w:val="1CCE3D46"/>
    <w:rsid w:val="1F2F431B"/>
    <w:rsid w:val="1F5375DF"/>
    <w:rsid w:val="1FDA2967"/>
    <w:rsid w:val="206D3312"/>
    <w:rsid w:val="25236FB5"/>
    <w:rsid w:val="25E55CAE"/>
    <w:rsid w:val="29413199"/>
    <w:rsid w:val="29FB11D4"/>
    <w:rsid w:val="2A7432AE"/>
    <w:rsid w:val="2E3363FA"/>
    <w:rsid w:val="2F375C20"/>
    <w:rsid w:val="31101687"/>
    <w:rsid w:val="35BB46C8"/>
    <w:rsid w:val="390B3989"/>
    <w:rsid w:val="3A971F20"/>
    <w:rsid w:val="3CAE6090"/>
    <w:rsid w:val="3F0244C8"/>
    <w:rsid w:val="3F1673F7"/>
    <w:rsid w:val="41A65C31"/>
    <w:rsid w:val="41E7053F"/>
    <w:rsid w:val="43EF0B8C"/>
    <w:rsid w:val="45875863"/>
    <w:rsid w:val="47471047"/>
    <w:rsid w:val="477813B2"/>
    <w:rsid w:val="481F1E7A"/>
    <w:rsid w:val="49B04278"/>
    <w:rsid w:val="4A872855"/>
    <w:rsid w:val="4A9E2A99"/>
    <w:rsid w:val="4FBB6A0D"/>
    <w:rsid w:val="545E05C9"/>
    <w:rsid w:val="55E91147"/>
    <w:rsid w:val="562D0962"/>
    <w:rsid w:val="56E21CDE"/>
    <w:rsid w:val="59DC3F3D"/>
    <w:rsid w:val="5AD40357"/>
    <w:rsid w:val="5F61117E"/>
    <w:rsid w:val="5F9E4ED7"/>
    <w:rsid w:val="61C64686"/>
    <w:rsid w:val="635350FF"/>
    <w:rsid w:val="6365657C"/>
    <w:rsid w:val="6D1671CC"/>
    <w:rsid w:val="6D627613"/>
    <w:rsid w:val="717B4F3F"/>
    <w:rsid w:val="76032C96"/>
    <w:rsid w:val="7B4F4F70"/>
    <w:rsid w:val="7B615A8A"/>
    <w:rsid w:val="7FC67A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7"/>
    <w:qFormat/>
    <w:uiPriority w:val="0"/>
    <w:rPr>
      <w:b/>
      <w:bCs/>
    </w:rPr>
  </w:style>
  <w:style w:type="paragraph" w:styleId="5">
    <w:name w:val="annotation text"/>
    <w:basedOn w:val="1"/>
    <w:link w:val="22"/>
    <w:qFormat/>
    <w:uiPriority w:val="0"/>
    <w:pPr>
      <w:jc w:val="left"/>
    </w:pPr>
  </w:style>
  <w:style w:type="paragraph" w:styleId="6">
    <w:name w:val="Date"/>
    <w:basedOn w:val="1"/>
    <w:next w:val="1"/>
    <w:link w:val="15"/>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table" w:styleId="13">
    <w:name w:val="Light Grid Accent 5"/>
    <w:basedOn w:val="1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paragraph" w:customStyle="1" w:styleId="14">
    <w:name w:val="Char Char"/>
    <w:basedOn w:val="1"/>
    <w:qFormat/>
    <w:uiPriority w:val="0"/>
    <w:pPr>
      <w:tabs>
        <w:tab w:val="left" w:pos="1060"/>
      </w:tabs>
      <w:ind w:left="1060" w:hanging="420"/>
    </w:pPr>
  </w:style>
  <w:style w:type="character" w:customStyle="1" w:styleId="15">
    <w:name w:val="日期 Char"/>
    <w:basedOn w:val="10"/>
    <w:link w:val="6"/>
    <w:qFormat/>
    <w:uiPriority w:val="0"/>
    <w:rPr>
      <w:kern w:val="2"/>
      <w:sz w:val="21"/>
      <w:szCs w:val="24"/>
    </w:rPr>
  </w:style>
  <w:style w:type="character" w:customStyle="1" w:styleId="16">
    <w:name w:val="页眉 Char"/>
    <w:basedOn w:val="10"/>
    <w:link w:val="9"/>
    <w:qFormat/>
    <w:uiPriority w:val="0"/>
    <w:rPr>
      <w:kern w:val="2"/>
      <w:sz w:val="18"/>
      <w:szCs w:val="18"/>
    </w:rPr>
  </w:style>
  <w:style w:type="character" w:customStyle="1" w:styleId="17">
    <w:name w:val="页脚 Char"/>
    <w:basedOn w:val="10"/>
    <w:link w:val="8"/>
    <w:qFormat/>
    <w:uiPriority w:val="0"/>
    <w:rPr>
      <w:kern w:val="2"/>
      <w:sz w:val="18"/>
      <w:szCs w:val="18"/>
    </w:rPr>
  </w:style>
  <w:style w:type="character" w:customStyle="1" w:styleId="18">
    <w:name w:val="批注框文本 Char"/>
    <w:basedOn w:val="10"/>
    <w:link w:val="7"/>
    <w:qFormat/>
    <w:uiPriority w:val="0"/>
    <w:rPr>
      <w:kern w:val="2"/>
      <w:sz w:val="18"/>
      <w:szCs w:val="18"/>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标题 1 Char"/>
    <w:basedOn w:val="10"/>
    <w:link w:val="2"/>
    <w:qFormat/>
    <w:uiPriority w:val="0"/>
    <w:rPr>
      <w:b/>
      <w:bCs/>
      <w:kern w:val="44"/>
      <w:sz w:val="44"/>
      <w:szCs w:val="44"/>
    </w:rPr>
  </w:style>
  <w:style w:type="character" w:customStyle="1" w:styleId="21">
    <w:name w:val="标题 2 Char"/>
    <w:basedOn w:val="10"/>
    <w:link w:val="3"/>
    <w:qFormat/>
    <w:uiPriority w:val="0"/>
    <w:rPr>
      <w:rFonts w:asciiTheme="majorHAnsi" w:hAnsiTheme="majorHAnsi" w:eastAsiaTheme="majorEastAsia" w:cstheme="majorBidi"/>
      <w:b/>
      <w:bCs/>
      <w:kern w:val="2"/>
      <w:sz w:val="32"/>
      <w:szCs w:val="32"/>
    </w:rPr>
  </w:style>
  <w:style w:type="character" w:customStyle="1" w:styleId="22">
    <w:name w:val="批注文字 Char"/>
    <w:basedOn w:val="10"/>
    <w:link w:val="5"/>
    <w:qFormat/>
    <w:uiPriority w:val="0"/>
    <w:rPr>
      <w:kern w:val="2"/>
      <w:sz w:val="21"/>
      <w:szCs w:val="24"/>
    </w:rPr>
  </w:style>
  <w:style w:type="paragraph" w:customStyle="1" w:styleId="23">
    <w:name w:val="Default New"/>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列出段落2"/>
    <w:basedOn w:val="1"/>
    <w:qFormat/>
    <w:uiPriority w:val="34"/>
    <w:pPr>
      <w:ind w:firstLine="420" w:firstLineChars="200"/>
    </w:pPr>
  </w:style>
  <w:style w:type="paragraph" w:customStyle="1" w:styleId="2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列出段落3"/>
    <w:basedOn w:val="1"/>
    <w:unhideWhenUsed/>
    <w:qFormat/>
    <w:uiPriority w:val="99"/>
    <w:pPr>
      <w:ind w:firstLine="420" w:firstLineChars="200"/>
    </w:pPr>
  </w:style>
  <w:style w:type="character" w:customStyle="1" w:styleId="27">
    <w:name w:val="批注主题 Char"/>
    <w:basedOn w:val="22"/>
    <w:link w:val="4"/>
    <w:qFormat/>
    <w:uiPriority w:val="0"/>
    <w:rPr>
      <w:b/>
      <w:bCs/>
    </w:rPr>
  </w:style>
  <w:style w:type="paragraph" w:customStyle="1" w:styleId="28">
    <w:name w:val="List Paragraph"/>
    <w:basedOn w:val="1"/>
    <w:unhideWhenUsed/>
    <w:qFormat/>
    <w:uiPriority w:val="99"/>
    <w:pPr>
      <w:ind w:firstLine="420" w:firstLineChars="200"/>
    </w:p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A9ED24291D44C6BC6A9AFABB83933C"/>
        <w:style w:val=""/>
        <w:category>
          <w:name w:val="常规"/>
          <w:gallery w:val="placeholder"/>
        </w:category>
        <w:types>
          <w:type w:val="bbPlcHdr"/>
        </w:types>
        <w:behaviors>
          <w:behavior w:val="content"/>
        </w:behaviors>
        <w:description w:val=""/>
        <w:guid w:val="{75B31003-F0D7-4EDD-B679-6F5986EC631E}"/>
      </w:docPartPr>
      <w:docPartBody>
        <w:p>
          <w:pPr>
            <w:pStyle w:val="4"/>
          </w:pPr>
          <w:r>
            <w:rPr>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036"/>
    <w:rsid w:val="0006064B"/>
    <w:rsid w:val="002A7E72"/>
    <w:rsid w:val="002E6DE3"/>
    <w:rsid w:val="00361F2C"/>
    <w:rsid w:val="0052460B"/>
    <w:rsid w:val="006B53B5"/>
    <w:rsid w:val="008C445C"/>
    <w:rsid w:val="00C15FE3"/>
    <w:rsid w:val="00D85CC8"/>
    <w:rsid w:val="00F1023D"/>
    <w:rsid w:val="00F616FA"/>
    <w:rsid w:val="00F62036"/>
    <w:rsid w:val="00F669F1"/>
    <w:rsid w:val="00F9111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93A9ED24291D44C6BC6A9AFABB8393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1FC55-52F2-48DF-A1E7-0BFE14E576E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1468</Words>
  <Characters>8369</Characters>
  <Lines>69</Lines>
  <Paragraphs>19</Paragraphs>
  <ScaleCrop>false</ScaleCrop>
  <LinksUpToDate>false</LinksUpToDate>
  <CharactersWithSpaces>9818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2016-07-06T01:58:00Z</dcterms:created>
  <dc:creator>微软用户</dc:creator>
  <cp:lastModifiedBy>liumin</cp:lastModifiedBy>
  <cp:lastPrinted>2016-07-07T10:27:00Z</cp:lastPrinted>
  <dcterms:modified xsi:type="dcterms:W3CDTF">2016-07-12T09:11:55Z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